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2F207D" w:rsidRDefault="00ED5549" w:rsidP="00604BFB">
      <w:pPr>
        <w:jc w:val="both"/>
        <w:rPr>
          <w:sz w:val="20"/>
          <w:szCs w:val="20"/>
          <w:lang w:val="en-US"/>
        </w:rPr>
      </w:pPr>
    </w:p>
    <w:p w14:paraId="687BC23B" w14:textId="77777777" w:rsidR="00ED5549" w:rsidRPr="002F207D" w:rsidRDefault="00ED5549" w:rsidP="00604BFB">
      <w:pPr>
        <w:jc w:val="both"/>
        <w:rPr>
          <w:sz w:val="20"/>
          <w:szCs w:val="20"/>
          <w:lang w:val="en-US"/>
        </w:rPr>
      </w:pPr>
    </w:p>
    <w:p w14:paraId="64EAFB9B" w14:textId="273A2B2D" w:rsidR="002D7A44" w:rsidRPr="002F207D" w:rsidRDefault="00ED5549" w:rsidP="00604BFB">
      <w:pPr>
        <w:pStyle w:val="berschrift1"/>
        <w:jc w:val="both"/>
      </w:pPr>
      <w:r>
        <w:t>Comunicato stampa</w:t>
      </w:r>
    </w:p>
    <w:p w14:paraId="07CB8F03" w14:textId="06F6FC04" w:rsidR="00ED5549" w:rsidRPr="002F207D" w:rsidRDefault="0051114E" w:rsidP="00604BFB">
      <w:pPr>
        <w:jc w:val="both"/>
      </w:pPr>
      <w:r>
        <w:rPr>
          <w:sz w:val="20"/>
        </w:rPr>
        <w:t>Solar Energy</w:t>
      </w:r>
    </w:p>
    <w:p w14:paraId="3EF5C6DD" w14:textId="6608F6CF" w:rsidR="00ED5549" w:rsidRPr="002F207D" w:rsidRDefault="00ED5549" w:rsidP="00604BFB">
      <w:pPr>
        <w:jc w:val="both"/>
        <w:rPr>
          <w:sz w:val="20"/>
          <w:szCs w:val="20"/>
        </w:rPr>
      </w:pPr>
    </w:p>
    <w:p w14:paraId="00F13E77" w14:textId="77777777" w:rsidR="00E83DD7" w:rsidRPr="002F207D" w:rsidRDefault="00E83DD7" w:rsidP="00604BFB">
      <w:pPr>
        <w:jc w:val="both"/>
        <w:rPr>
          <w:sz w:val="20"/>
          <w:szCs w:val="20"/>
        </w:rPr>
      </w:pPr>
    </w:p>
    <w:p w14:paraId="4F8F137E" w14:textId="2635D4E5" w:rsidR="006D6430" w:rsidRPr="002F207D" w:rsidRDefault="0030062E" w:rsidP="00604BFB">
      <w:pPr>
        <w:pStyle w:val="HeadlineGreen"/>
        <w:jc w:val="both"/>
        <w:rPr>
          <w:color w:val="auto"/>
          <w:sz w:val="22"/>
          <w:szCs w:val="20"/>
        </w:rPr>
      </w:pPr>
      <w:r>
        <w:rPr>
          <w:color w:val="auto"/>
          <w:sz w:val="22"/>
        </w:rPr>
        <w:t>Outlook 2023</w:t>
      </w:r>
    </w:p>
    <w:p w14:paraId="726FD8A5" w14:textId="40E66082" w:rsidR="002D7A44" w:rsidRPr="00604BFB" w:rsidRDefault="004A4FE4" w:rsidP="00604BFB">
      <w:pPr>
        <w:pStyle w:val="berschrift2"/>
        <w:jc w:val="both"/>
        <w:rPr>
          <w:color w:val="auto"/>
          <w:sz w:val="32"/>
          <w:szCs w:val="28"/>
        </w:rPr>
      </w:pPr>
      <w:r>
        <w:rPr>
          <w:color w:val="auto"/>
          <w:sz w:val="32"/>
        </w:rPr>
        <w:t>La produzione viaggia a pieno ritmo</w:t>
      </w:r>
    </w:p>
    <w:p w14:paraId="2CC4F935" w14:textId="77777777" w:rsidR="00ED5549" w:rsidRPr="002F207D" w:rsidRDefault="00ED5549" w:rsidP="00604BFB">
      <w:pPr>
        <w:jc w:val="both"/>
        <w:rPr>
          <w:sz w:val="20"/>
          <w:szCs w:val="20"/>
        </w:rPr>
      </w:pPr>
    </w:p>
    <w:p w14:paraId="03A8A6A0" w14:textId="2A5C56CC" w:rsidR="006B3354" w:rsidRDefault="00ED5549" w:rsidP="006B3354">
      <w:pPr>
        <w:jc w:val="both"/>
        <w:rPr>
          <w:sz w:val="24"/>
        </w:rPr>
      </w:pPr>
      <w:r>
        <w:rPr>
          <w:i/>
          <w:sz w:val="24"/>
        </w:rPr>
        <w:t>(Wels, 21 dicembre 2022)</w:t>
      </w:r>
      <w:r>
        <w:rPr>
          <w:sz w:val="24"/>
        </w:rPr>
        <w:t xml:space="preserve"> Nel </w:t>
      </w:r>
      <w:r w:rsidRPr="00260A88">
        <w:rPr>
          <w:sz w:val="24"/>
        </w:rPr>
        <w:t>2022, Fronius ha investito 187 milioni di euro nell’ampliamento e nella trasformazione della sede produttiva di Sattledt (AUT) e nel centro di competenza per i componenti induttivi di Krumlov (CZ) – Il prossimo anno, gli investimenti supereranno i 2</w:t>
      </w:r>
      <w:r w:rsidR="00260A88" w:rsidRPr="00260A88">
        <w:rPr>
          <w:sz w:val="24"/>
        </w:rPr>
        <w:t>3</w:t>
      </w:r>
      <w:r w:rsidRPr="00260A88">
        <w:rPr>
          <w:sz w:val="24"/>
        </w:rPr>
        <w:t>0 milioni di euro e serviranno a creare nuove linee di produzione e nuovi posti di lavoro e a raggiungere</w:t>
      </w:r>
      <w:r>
        <w:rPr>
          <w:sz w:val="24"/>
        </w:rPr>
        <w:t xml:space="preserve"> una situazione produttiva stabile. </w:t>
      </w:r>
    </w:p>
    <w:p w14:paraId="5580867E" w14:textId="77777777" w:rsidR="0025659F" w:rsidRPr="0025659F" w:rsidRDefault="0025659F" w:rsidP="006B3354">
      <w:pPr>
        <w:jc w:val="both"/>
        <w:rPr>
          <w:sz w:val="24"/>
          <w:szCs w:val="24"/>
        </w:rPr>
      </w:pPr>
    </w:p>
    <w:p w14:paraId="57A14B14" w14:textId="7D9F78C2" w:rsidR="00612FD3" w:rsidRDefault="004472BA" w:rsidP="00EA52A7">
      <w:pPr>
        <w:spacing w:before="40" w:after="40"/>
        <w:ind w:left="45"/>
        <w:jc w:val="both"/>
        <w:rPr>
          <w:sz w:val="20"/>
          <w:szCs w:val="20"/>
        </w:rPr>
      </w:pPr>
      <w:r>
        <w:rPr>
          <w:sz w:val="20"/>
        </w:rPr>
        <w:t xml:space="preserve">Fronius compie investimenti importanti per l’ampliamento della produzione. </w:t>
      </w:r>
      <w:r>
        <w:rPr>
          <w:i/>
          <w:sz w:val="20"/>
        </w:rPr>
        <w:t xml:space="preserve">“Abbiamo ampliato la superficie utile, portandola da 41.000 m² a 69.000 m². La nostra produzione viaggia costantemente a pieno ritmo per soddisfare al meglio l’enorme aumento della domanda”, </w:t>
      </w:r>
      <w:r>
        <w:rPr>
          <w:sz w:val="20"/>
        </w:rPr>
        <w:t>afferma Martin Hackl, Global Director Marketing and Sales, Business Unit Solar Energy, Fronius International GmbH. La priorità assoluta di Fronius è quella di mantenere un alto valore aggiunto in Europa; solo così è possibile garantire standard di qualità e sicurezza elevati</w:t>
      </w:r>
      <w:r>
        <w:rPr>
          <w:i/>
          <w:sz w:val="20"/>
        </w:rPr>
        <w:t>.</w:t>
      </w:r>
      <w:r>
        <w:rPr>
          <w:sz w:val="20"/>
        </w:rPr>
        <w:t xml:space="preserve"> </w:t>
      </w:r>
      <w:r>
        <w:rPr>
          <w:i/>
          <w:sz w:val="20"/>
        </w:rPr>
        <w:t>“Il 95% dei nostri partner commerciali proviene dall’Europa”,</w:t>
      </w:r>
      <w:r>
        <w:rPr>
          <w:sz w:val="20"/>
        </w:rPr>
        <w:t xml:space="preserve"> ricorda Martin Hackl. </w:t>
      </w:r>
    </w:p>
    <w:p w14:paraId="23337CA7" w14:textId="0941D416" w:rsidR="00612FD3" w:rsidRDefault="00612FD3" w:rsidP="00C02BD4">
      <w:pPr>
        <w:spacing w:before="40" w:after="40"/>
        <w:jc w:val="both"/>
        <w:rPr>
          <w:sz w:val="20"/>
          <w:szCs w:val="20"/>
        </w:rPr>
      </w:pPr>
    </w:p>
    <w:p w14:paraId="3D71F30F" w14:textId="715E5E2B" w:rsidR="00612FD3" w:rsidRPr="0025659F" w:rsidRDefault="005737EF" w:rsidP="0025659F">
      <w:pPr>
        <w:pStyle w:val="berschrift3"/>
      </w:pPr>
      <w:r w:rsidRPr="0025659F">
        <w:t>Nuove linee di produzione</w:t>
      </w:r>
    </w:p>
    <w:p w14:paraId="140A267A" w14:textId="26B8652E" w:rsidR="00C02BD4" w:rsidRDefault="004349E3" w:rsidP="00C02BD4">
      <w:pPr>
        <w:spacing w:before="40" w:after="40"/>
        <w:jc w:val="both"/>
        <w:rPr>
          <w:rFonts w:ascii="Calibri" w:hAnsi="Calibri"/>
          <w:sz w:val="20"/>
          <w:szCs w:val="20"/>
        </w:rPr>
      </w:pPr>
      <w:r>
        <w:rPr>
          <w:sz w:val="20"/>
        </w:rPr>
        <w:t>L’ampliamento verso nord dello stabilimento produttivo di Sattledt, in Austria, è già in funzione. È qui che da metà agosto viene prodotto Fronius Tauro. La produzione esistente verrà trasformata e, a questo proposito, verrà creata già quest’anno una nuova linea di produzione per Fronius GEN24 Plus, alla quale se ne aggiungeranno altre due nel 2023. “</w:t>
      </w:r>
      <w:r>
        <w:rPr>
          <w:i/>
          <w:sz w:val="20"/>
        </w:rPr>
        <w:t>Le nuove linee di produzione ci aiuteranno a soddisfare la forte domanda”,</w:t>
      </w:r>
      <w:r>
        <w:rPr>
          <w:sz w:val="20"/>
        </w:rPr>
        <w:t xml:space="preserve"> spiega Martin Hackl. </w:t>
      </w:r>
    </w:p>
    <w:p w14:paraId="7979209C" w14:textId="66DEFE2D" w:rsidR="004349E3" w:rsidRPr="00260A88" w:rsidRDefault="004349E3" w:rsidP="002846EC">
      <w:pPr>
        <w:spacing w:before="40" w:after="40"/>
        <w:jc w:val="both"/>
        <w:rPr>
          <w:sz w:val="20"/>
          <w:szCs w:val="20"/>
          <w:lang w:val="en-US"/>
        </w:rPr>
      </w:pPr>
    </w:p>
    <w:p w14:paraId="018A4EAF" w14:textId="55A6A4EA" w:rsidR="00785D72" w:rsidRPr="0025659F" w:rsidRDefault="00B63556" w:rsidP="0025659F">
      <w:pPr>
        <w:pStyle w:val="berschrift3"/>
      </w:pPr>
      <w:r w:rsidRPr="0025659F">
        <w:t>Risultati di produzione elevati e boom del fotovoltaico a confronto</w:t>
      </w:r>
    </w:p>
    <w:p w14:paraId="5A6E11E1" w14:textId="28BC41A0" w:rsidR="002846EC" w:rsidRPr="00AC61D0" w:rsidRDefault="00B107A9" w:rsidP="00AC61D0">
      <w:pPr>
        <w:spacing w:before="40" w:after="40"/>
        <w:jc w:val="both"/>
        <w:rPr>
          <w:sz w:val="20"/>
          <w:szCs w:val="20"/>
        </w:rPr>
      </w:pPr>
      <w:r>
        <w:rPr>
          <w:i/>
          <w:color w:val="000000" w:themeColor="text1"/>
          <w:sz w:val="20"/>
        </w:rPr>
        <w:t>“I risultati di produzione in Fronius hanno raggiunto livelli mai visti prima”,</w:t>
      </w:r>
      <w:r>
        <w:rPr>
          <w:color w:val="000000" w:themeColor="text1"/>
          <w:sz w:val="20"/>
        </w:rPr>
        <w:t xml:space="preserve"> afferma Martin Hackl. Nel 2022, il numero totale di inverter prodotti al mese è stato di appena 32.000 unità. Entro la fine del 2023, dovrebbero diventare più di 52.000 al mese, con un aumento di oltre il 65%. D’altra parte, stiamo assistendo a un vero e proprio boom del fotovoltaico. </w:t>
      </w:r>
      <w:r>
        <w:rPr>
          <w:i/>
          <w:color w:val="000000" w:themeColor="text1"/>
          <w:sz w:val="20"/>
        </w:rPr>
        <w:t xml:space="preserve">“Il fotovoltaico è richiesto come mai prima d’ora, con un conseguente aumento esponenziale della domanda”, </w:t>
      </w:r>
      <w:r>
        <w:rPr>
          <w:color w:val="000000" w:themeColor="text1"/>
          <w:sz w:val="20"/>
        </w:rPr>
        <w:t>spiega Martin Hackl. Nel frattempo, l</w:t>
      </w:r>
      <w:r>
        <w:rPr>
          <w:sz w:val="20"/>
        </w:rPr>
        <w:t xml:space="preserve">a pandemia ha posto le aziende di tutto il mondo di fronte a nuove sfide, senza risparmiare neanche Fronius. </w:t>
      </w:r>
      <w:r>
        <w:rPr>
          <w:i/>
          <w:sz w:val="20"/>
        </w:rPr>
        <w:t xml:space="preserve">“Nonostante il contesto difficile, come catene di approvvigionamento </w:t>
      </w:r>
      <w:r>
        <w:rPr>
          <w:i/>
          <w:sz w:val="20"/>
        </w:rPr>
        <w:lastRenderedPageBreak/>
        <w:t xml:space="preserve">instabili, scarsità di componenti e mancanza di personale, siamo stati in grado di </w:t>
      </w:r>
      <w:r>
        <w:rPr>
          <w:i/>
          <w:color w:val="000000"/>
          <w:sz w:val="20"/>
          <w:shd w:val="clear" w:color="auto" w:fill="FFFFFF"/>
        </w:rPr>
        <w:t>garantire la fornitura e, quindi, di stabilizzare la produzione”</w:t>
      </w:r>
      <w:r>
        <w:rPr>
          <w:color w:val="000000"/>
          <w:sz w:val="20"/>
          <w:shd w:val="clear" w:color="auto" w:fill="FFFFFF"/>
        </w:rPr>
        <w:t xml:space="preserve">, riporta Martin Hackl. </w:t>
      </w:r>
    </w:p>
    <w:p w14:paraId="5FC50A77" w14:textId="18A15655" w:rsidR="00FC5BFA" w:rsidRPr="00260A88" w:rsidRDefault="00FC5BFA" w:rsidP="0044171E">
      <w:pPr>
        <w:spacing w:before="40" w:after="40"/>
        <w:jc w:val="both"/>
        <w:rPr>
          <w:sz w:val="20"/>
          <w:szCs w:val="20"/>
          <w:lang w:val="en-US"/>
        </w:rPr>
      </w:pPr>
    </w:p>
    <w:p w14:paraId="0079B94C" w14:textId="61DDC166" w:rsidR="00785D72" w:rsidRPr="0025659F" w:rsidRDefault="000656D1" w:rsidP="0025659F">
      <w:pPr>
        <w:pStyle w:val="berschrift3"/>
      </w:pPr>
      <w:r w:rsidRPr="0025659F">
        <w:t>Investimenti sostenibili in tutte le sedi</w:t>
      </w:r>
    </w:p>
    <w:p w14:paraId="4FCD6869" w14:textId="77777777" w:rsidR="00A97A1B" w:rsidRDefault="007252E6" w:rsidP="0044171E">
      <w:pPr>
        <w:spacing w:before="40" w:after="40"/>
        <w:jc w:val="both"/>
        <w:rPr>
          <w:sz w:val="20"/>
          <w:szCs w:val="20"/>
        </w:rPr>
      </w:pPr>
      <w:r>
        <w:rPr>
          <w:sz w:val="20"/>
        </w:rPr>
        <w:t xml:space="preserve">Gli investimenti in tecnologie a basso consumo energetico e un uso consapevole delle risorse sono principi profondamente radicati in Fronius: due impianti di stoccaggio del ghiaccio contribuiscono a riscaldare la sede produttiva di Sattledt in inverno e a rinfrescarla in estate. Si tratta attualmente del più grande impianto di questo tipo in Europa. Un altro punto di forza è il magazzino verticale completamente automatizzato, che offre spazio per 7.000 pallet e 12.500 contenitori per i piccoli componenti. </w:t>
      </w:r>
    </w:p>
    <w:p w14:paraId="16F2930B" w14:textId="77777777" w:rsidR="00A97A1B" w:rsidRPr="00260A88" w:rsidRDefault="00A97A1B" w:rsidP="0044171E">
      <w:pPr>
        <w:spacing w:before="40" w:after="40"/>
        <w:jc w:val="both"/>
        <w:rPr>
          <w:sz w:val="20"/>
          <w:szCs w:val="20"/>
          <w:lang w:val="en-US"/>
        </w:rPr>
      </w:pPr>
    </w:p>
    <w:p w14:paraId="42B3896E" w14:textId="23FADE5D" w:rsidR="006D1F17" w:rsidRDefault="006D1F17" w:rsidP="0044171E">
      <w:pPr>
        <w:spacing w:before="40" w:after="40"/>
        <w:jc w:val="both"/>
        <w:rPr>
          <w:sz w:val="20"/>
          <w:szCs w:val="20"/>
        </w:rPr>
      </w:pPr>
      <w:r>
        <w:rPr>
          <w:sz w:val="20"/>
        </w:rPr>
        <w:t xml:space="preserve">Nella sede di Krumlov, in Repubblica Ceca, si sta già pianificando il prossimo intervento di ampliamento, sebbene ne sia appena terminato uno. Nei prossimi cinque anni, si prevede di raddoppiare il personale e di ampliare in maniera sostanziale le superfici produttive. </w:t>
      </w:r>
    </w:p>
    <w:p w14:paraId="70B565D7" w14:textId="327FD073" w:rsidR="006D1F17" w:rsidRPr="00260A88" w:rsidRDefault="006D1F17" w:rsidP="0044171E">
      <w:pPr>
        <w:spacing w:before="40" w:after="40"/>
        <w:jc w:val="both"/>
        <w:rPr>
          <w:sz w:val="20"/>
          <w:szCs w:val="20"/>
          <w:lang w:val="en-US"/>
        </w:rPr>
      </w:pPr>
    </w:p>
    <w:p w14:paraId="7330AB9B" w14:textId="60399B63" w:rsidR="00785D72" w:rsidRDefault="00BF2F5E" w:rsidP="0044171E">
      <w:pPr>
        <w:spacing w:before="40" w:after="40"/>
        <w:jc w:val="both"/>
        <w:rPr>
          <w:i/>
          <w:iCs/>
          <w:sz w:val="20"/>
          <w:szCs w:val="20"/>
        </w:rPr>
      </w:pPr>
      <w:r>
        <w:rPr>
          <w:sz w:val="20"/>
        </w:rPr>
        <w:t xml:space="preserve">L’anno prossimo, molte delle 25 filiali di Fronius Solar Energy investiranno nel futuro. Così, presso Fronius Italia, ad esempio, entreranno in funzione un nuovo impianto fotovoltaico e stazioni di ricarica per veicoli elettrici, mentre presso Fronius Schweiz è prevista, a partire dal 2023, l’introduzione sul campo di </w:t>
      </w:r>
      <w:r w:rsidRPr="00E22999">
        <w:rPr>
          <w:sz w:val="20"/>
        </w:rPr>
        <w:t xml:space="preserve">dodici veicoli elettrici. Fronius sta anche investendo nell’assunzione di nuovo personale. Nei prossimi due anni, Martin Hackl prevede una forte crescita: </w:t>
      </w:r>
      <w:r w:rsidRPr="00E22999">
        <w:rPr>
          <w:i/>
          <w:sz w:val="20"/>
        </w:rPr>
        <w:t>“Entro la fine del 2023, cercheremo di assumere circa 1.</w:t>
      </w:r>
      <w:r w:rsidR="001832B8">
        <w:rPr>
          <w:i/>
          <w:sz w:val="20"/>
        </w:rPr>
        <w:t>3</w:t>
      </w:r>
      <w:r w:rsidRPr="00E22999">
        <w:rPr>
          <w:i/>
          <w:sz w:val="20"/>
        </w:rPr>
        <w:t>00 nuovi</w:t>
      </w:r>
      <w:r>
        <w:rPr>
          <w:i/>
          <w:sz w:val="20"/>
        </w:rPr>
        <w:t>/e dipendenti a livello internazionale.”</w:t>
      </w:r>
    </w:p>
    <w:p w14:paraId="5A0E98C5" w14:textId="7D07ACAF" w:rsidR="00DD51EC" w:rsidRPr="00260A88" w:rsidRDefault="00DD51EC" w:rsidP="0044171E">
      <w:pPr>
        <w:spacing w:before="40" w:after="40"/>
        <w:jc w:val="both"/>
        <w:rPr>
          <w:i/>
          <w:iCs/>
          <w:sz w:val="20"/>
          <w:szCs w:val="20"/>
          <w:lang w:val="en-US"/>
        </w:rPr>
      </w:pPr>
    </w:p>
    <w:p w14:paraId="39701604" w14:textId="3346C047" w:rsidR="0044171E" w:rsidRPr="00E53199" w:rsidRDefault="0044171E" w:rsidP="0044171E">
      <w:pPr>
        <w:spacing w:before="40" w:after="40"/>
        <w:jc w:val="both"/>
        <w:rPr>
          <w:sz w:val="20"/>
          <w:szCs w:val="20"/>
        </w:rPr>
      </w:pPr>
      <w:r>
        <w:rPr>
          <w:sz w:val="20"/>
        </w:rPr>
        <w:t xml:space="preserve">Parole: </w:t>
      </w:r>
      <w:r w:rsidR="0025659F">
        <w:rPr>
          <w:sz w:val="20"/>
        </w:rPr>
        <w:t>575</w:t>
      </w:r>
    </w:p>
    <w:p w14:paraId="1C097BA3" w14:textId="6DCB25B8" w:rsidR="0044171E" w:rsidRPr="00E53199" w:rsidRDefault="0044171E" w:rsidP="0044171E">
      <w:pPr>
        <w:spacing w:before="40" w:after="40"/>
        <w:jc w:val="both"/>
        <w:rPr>
          <w:sz w:val="20"/>
          <w:szCs w:val="20"/>
        </w:rPr>
      </w:pPr>
      <w:r>
        <w:rPr>
          <w:sz w:val="20"/>
        </w:rPr>
        <w:t>Caratteri (spazi inclusi):</w:t>
      </w:r>
      <w:r w:rsidR="0025659F">
        <w:rPr>
          <w:sz w:val="20"/>
        </w:rPr>
        <w:t xml:space="preserve"> 3.824</w:t>
      </w:r>
    </w:p>
    <w:p w14:paraId="602C9BB0" w14:textId="77777777" w:rsidR="001F4980" w:rsidRDefault="001F4980" w:rsidP="00604BFB">
      <w:pPr>
        <w:pStyle w:val="berschrift4"/>
        <w:jc w:val="both"/>
        <w:rPr>
          <w:sz w:val="20"/>
          <w:szCs w:val="20"/>
        </w:rPr>
      </w:pPr>
    </w:p>
    <w:p w14:paraId="754368C8" w14:textId="1D918805" w:rsidR="00B8257D" w:rsidRDefault="00B8257D" w:rsidP="0081465F">
      <w:pPr>
        <w:pStyle w:val="berschrift4"/>
        <w:jc w:val="both"/>
        <w:rPr>
          <w:sz w:val="20"/>
          <w:szCs w:val="20"/>
        </w:rPr>
      </w:pPr>
      <w:r>
        <w:rPr>
          <w:sz w:val="20"/>
        </w:rPr>
        <w:t>Panoramica immagini</w:t>
      </w:r>
    </w:p>
    <w:p w14:paraId="731BE15C" w14:textId="77777777" w:rsidR="004A4FE4" w:rsidRPr="004A4FE4" w:rsidRDefault="004A4FE4" w:rsidP="004A4FE4"/>
    <w:p w14:paraId="58DE6613" w14:textId="77777777" w:rsidR="00BE64CC" w:rsidRDefault="00BE64CC" w:rsidP="00604BFB">
      <w:pPr>
        <w:jc w:val="both"/>
        <w:rPr>
          <w:sz w:val="18"/>
          <w:szCs w:val="18"/>
        </w:rPr>
      </w:pPr>
      <w:r>
        <w:rPr>
          <w:noProof/>
          <w:sz w:val="18"/>
        </w:rPr>
        <w:drawing>
          <wp:anchor distT="0" distB="0" distL="114300" distR="114300" simplePos="0" relativeHeight="251666432" behindDoc="1" locked="0" layoutInCell="1" allowOverlap="1" wp14:anchorId="23E9875A" wp14:editId="788A786E">
            <wp:simplePos x="0" y="0"/>
            <wp:positionH relativeFrom="column">
              <wp:posOffset>-4445</wp:posOffset>
            </wp:positionH>
            <wp:positionV relativeFrom="paragraph">
              <wp:posOffset>-3175</wp:posOffset>
            </wp:positionV>
            <wp:extent cx="2156343" cy="1438275"/>
            <wp:effectExtent l="0" t="0" r="0" b="0"/>
            <wp:wrapTight wrapText="bothSides">
              <wp:wrapPolygon edited="0">
                <wp:start x="0" y="0"/>
                <wp:lineTo x="0" y="21171"/>
                <wp:lineTo x="21377" y="21171"/>
                <wp:lineTo x="21377"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56343" cy="1438275"/>
                    </a:xfrm>
                    <a:prstGeom prst="rect">
                      <a:avLst/>
                    </a:prstGeom>
                  </pic:spPr>
                </pic:pic>
              </a:graphicData>
            </a:graphic>
          </wp:anchor>
        </w:drawing>
      </w:r>
    </w:p>
    <w:p w14:paraId="58938F68" w14:textId="77777777" w:rsidR="00BE64CC" w:rsidRDefault="00BE64CC" w:rsidP="00604BFB">
      <w:pPr>
        <w:jc w:val="both"/>
        <w:rPr>
          <w:sz w:val="18"/>
          <w:szCs w:val="18"/>
        </w:rPr>
      </w:pPr>
    </w:p>
    <w:p w14:paraId="5C3B8A18" w14:textId="77777777" w:rsidR="00BE64CC" w:rsidRDefault="00BE64CC" w:rsidP="00604BFB">
      <w:pPr>
        <w:jc w:val="both"/>
        <w:rPr>
          <w:sz w:val="18"/>
          <w:szCs w:val="18"/>
        </w:rPr>
      </w:pPr>
    </w:p>
    <w:p w14:paraId="382D122A" w14:textId="77777777" w:rsidR="00BE64CC" w:rsidRDefault="00BE64CC" w:rsidP="00604BFB">
      <w:pPr>
        <w:jc w:val="both"/>
        <w:rPr>
          <w:sz w:val="18"/>
          <w:szCs w:val="18"/>
        </w:rPr>
      </w:pPr>
    </w:p>
    <w:p w14:paraId="1820C051" w14:textId="77777777" w:rsidR="0025659F" w:rsidRDefault="0025659F" w:rsidP="00604BFB">
      <w:pPr>
        <w:jc w:val="both"/>
        <w:rPr>
          <w:sz w:val="16"/>
        </w:rPr>
      </w:pPr>
    </w:p>
    <w:p w14:paraId="0424D9F0" w14:textId="77777777" w:rsidR="0025659F" w:rsidRDefault="0025659F" w:rsidP="00604BFB">
      <w:pPr>
        <w:jc w:val="both"/>
        <w:rPr>
          <w:sz w:val="16"/>
        </w:rPr>
      </w:pPr>
    </w:p>
    <w:p w14:paraId="33A02288" w14:textId="3B7EA24B" w:rsidR="00B8257D" w:rsidRDefault="00BE64CC" w:rsidP="00604BFB">
      <w:pPr>
        <w:jc w:val="both"/>
        <w:rPr>
          <w:sz w:val="16"/>
          <w:szCs w:val="16"/>
        </w:rPr>
      </w:pPr>
      <w:r>
        <w:rPr>
          <w:sz w:val="16"/>
        </w:rPr>
        <w:t>Martin Hackl, Global Director Marketing and Sales, Business Unit Solar Energy, Fronius International GmbH.</w:t>
      </w:r>
    </w:p>
    <w:p w14:paraId="3323F437" w14:textId="4FB283AB" w:rsidR="00061FB8" w:rsidRDefault="00061FB8" w:rsidP="00604BFB">
      <w:pPr>
        <w:jc w:val="both"/>
        <w:rPr>
          <w:sz w:val="14"/>
          <w:szCs w:val="14"/>
          <w:lang w:val="en-US"/>
        </w:rPr>
      </w:pPr>
    </w:p>
    <w:p w14:paraId="0E7204FA" w14:textId="473593BB" w:rsidR="0025659F" w:rsidRDefault="0025659F" w:rsidP="00604BFB">
      <w:pPr>
        <w:jc w:val="both"/>
        <w:rPr>
          <w:sz w:val="14"/>
          <w:szCs w:val="14"/>
          <w:lang w:val="en-US"/>
        </w:rPr>
      </w:pPr>
    </w:p>
    <w:p w14:paraId="6D714D84" w14:textId="77777777" w:rsidR="0025659F" w:rsidRPr="004A4FE4" w:rsidRDefault="0025659F" w:rsidP="00604BFB">
      <w:pPr>
        <w:jc w:val="both"/>
        <w:rPr>
          <w:sz w:val="14"/>
          <w:szCs w:val="14"/>
          <w:lang w:val="en-US"/>
        </w:rPr>
      </w:pPr>
    </w:p>
    <w:p w14:paraId="086E2B7D" w14:textId="5A8ECA23" w:rsidR="00604BFB" w:rsidRPr="005F0FE1" w:rsidRDefault="002A2778" w:rsidP="00604BFB">
      <w:pPr>
        <w:jc w:val="both"/>
        <w:rPr>
          <w:sz w:val="18"/>
          <w:szCs w:val="18"/>
        </w:rPr>
      </w:pPr>
      <w:r>
        <w:rPr>
          <w:noProof/>
        </w:rPr>
        <w:lastRenderedPageBreak/>
        <w:drawing>
          <wp:anchor distT="0" distB="0" distL="114300" distR="114300" simplePos="0" relativeHeight="251667456" behindDoc="1" locked="0" layoutInCell="1" allowOverlap="1" wp14:anchorId="32ED7FBA" wp14:editId="074AB4C1">
            <wp:simplePos x="0" y="0"/>
            <wp:positionH relativeFrom="column">
              <wp:posOffset>-4445</wp:posOffset>
            </wp:positionH>
            <wp:positionV relativeFrom="paragraph">
              <wp:posOffset>-3175</wp:posOffset>
            </wp:positionV>
            <wp:extent cx="2181225" cy="1624880"/>
            <wp:effectExtent l="0" t="0" r="0" b="0"/>
            <wp:wrapTight wrapText="bothSides">
              <wp:wrapPolygon edited="0">
                <wp:start x="0" y="0"/>
                <wp:lineTo x="0" y="21279"/>
                <wp:lineTo x="21317" y="21279"/>
                <wp:lineTo x="21317"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2181225" cy="1624880"/>
                    </a:xfrm>
                    <a:prstGeom prst="rect">
                      <a:avLst/>
                    </a:prstGeom>
                  </pic:spPr>
                </pic:pic>
              </a:graphicData>
            </a:graphic>
          </wp:anchor>
        </w:drawing>
      </w:r>
    </w:p>
    <w:p w14:paraId="55E129F8" w14:textId="481561CB" w:rsidR="00604BFB" w:rsidRPr="005F0FE1" w:rsidRDefault="00604BFB" w:rsidP="00604BFB">
      <w:pPr>
        <w:jc w:val="both"/>
        <w:rPr>
          <w:sz w:val="18"/>
          <w:szCs w:val="18"/>
          <w:lang w:val="en-US"/>
        </w:rPr>
      </w:pPr>
    </w:p>
    <w:p w14:paraId="77557F6F" w14:textId="2606CB99" w:rsidR="002A2778" w:rsidRPr="005F0FE1" w:rsidRDefault="002A2778" w:rsidP="00604BFB">
      <w:pPr>
        <w:jc w:val="both"/>
        <w:rPr>
          <w:sz w:val="18"/>
          <w:szCs w:val="18"/>
          <w:lang w:val="en-US"/>
        </w:rPr>
      </w:pPr>
    </w:p>
    <w:p w14:paraId="6DBD733D" w14:textId="17FAD004" w:rsidR="002A2778" w:rsidRPr="005F0FE1" w:rsidRDefault="002A2778" w:rsidP="00604BFB">
      <w:pPr>
        <w:jc w:val="both"/>
        <w:rPr>
          <w:sz w:val="18"/>
          <w:szCs w:val="18"/>
          <w:lang w:val="en-US"/>
        </w:rPr>
      </w:pPr>
    </w:p>
    <w:p w14:paraId="125452B0" w14:textId="77777777" w:rsidR="004A4FE4" w:rsidRPr="0006318F" w:rsidRDefault="004A4FE4" w:rsidP="00604BFB">
      <w:pPr>
        <w:jc w:val="both"/>
        <w:rPr>
          <w:sz w:val="16"/>
          <w:szCs w:val="16"/>
          <w:lang w:val="en-US"/>
        </w:rPr>
      </w:pPr>
    </w:p>
    <w:p w14:paraId="09445261" w14:textId="77777777" w:rsidR="0025659F" w:rsidRDefault="0025659F" w:rsidP="00604BFB">
      <w:pPr>
        <w:jc w:val="both"/>
        <w:rPr>
          <w:sz w:val="16"/>
        </w:rPr>
      </w:pPr>
    </w:p>
    <w:p w14:paraId="2D94778F" w14:textId="378D5F7C" w:rsidR="0025659F" w:rsidRDefault="0025659F" w:rsidP="00604BFB">
      <w:pPr>
        <w:jc w:val="both"/>
        <w:rPr>
          <w:sz w:val="16"/>
        </w:rPr>
      </w:pPr>
    </w:p>
    <w:p w14:paraId="0BCDBA10" w14:textId="4594E0BA" w:rsidR="0081465F" w:rsidRDefault="004A6456" w:rsidP="00604BFB">
      <w:pPr>
        <w:jc w:val="both"/>
        <w:rPr>
          <w:sz w:val="16"/>
        </w:rPr>
      </w:pPr>
      <w:r>
        <w:rPr>
          <w:sz w:val="16"/>
        </w:rPr>
        <w:t>L’ampliamento verso nord dello stabilimento produttivo Fronius di Sattledt, in Austria, è già in funzione.</w:t>
      </w:r>
    </w:p>
    <w:p w14:paraId="7B7E20C0" w14:textId="77777777" w:rsidR="0025659F" w:rsidRPr="004A4FE4" w:rsidRDefault="0025659F" w:rsidP="00604BFB">
      <w:pPr>
        <w:jc w:val="both"/>
        <w:rPr>
          <w:sz w:val="16"/>
          <w:szCs w:val="16"/>
        </w:rPr>
      </w:pPr>
    </w:p>
    <w:p w14:paraId="1DE48E9A" w14:textId="77777777" w:rsidR="0025659F" w:rsidRDefault="00D44135" w:rsidP="002F207D">
      <w:pPr>
        <w:jc w:val="both"/>
        <w:rPr>
          <w:sz w:val="18"/>
        </w:rPr>
      </w:pPr>
      <w:r>
        <w:rPr>
          <w:noProof/>
          <w:sz w:val="18"/>
        </w:rPr>
        <w:drawing>
          <wp:inline distT="0" distB="0" distL="0" distR="0" wp14:anchorId="3C844009" wp14:editId="3E6B21CB">
            <wp:extent cx="1518408" cy="2276475"/>
            <wp:effectExtent l="0" t="0" r="5715"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25535" cy="2287160"/>
                    </a:xfrm>
                    <a:prstGeom prst="rect">
                      <a:avLst/>
                    </a:prstGeom>
                  </pic:spPr>
                </pic:pic>
              </a:graphicData>
            </a:graphic>
          </wp:inline>
        </w:drawing>
      </w:r>
    </w:p>
    <w:p w14:paraId="6A2D5607" w14:textId="643F7685" w:rsidR="002F207D" w:rsidRDefault="00D44135" w:rsidP="002F207D">
      <w:pPr>
        <w:jc w:val="both"/>
        <w:rPr>
          <w:sz w:val="16"/>
        </w:rPr>
      </w:pPr>
      <w:r>
        <w:rPr>
          <w:sz w:val="18"/>
        </w:rPr>
        <w:t xml:space="preserve"> </w:t>
      </w:r>
      <w:r>
        <w:rPr>
          <w:sz w:val="16"/>
        </w:rPr>
        <w:t>I risultati di produzione in Fronius hanno raggiunto livelli mai visti prima.</w:t>
      </w:r>
    </w:p>
    <w:p w14:paraId="71B2BE94" w14:textId="77777777" w:rsidR="0025659F" w:rsidRPr="002F207D" w:rsidRDefault="0025659F" w:rsidP="002F207D">
      <w:pPr>
        <w:jc w:val="both"/>
        <w:rPr>
          <w:sz w:val="18"/>
          <w:szCs w:val="18"/>
        </w:rPr>
      </w:pPr>
    </w:p>
    <w:p w14:paraId="5DDD2F84" w14:textId="77777777" w:rsidR="0025659F" w:rsidRPr="007D2E15" w:rsidRDefault="0025659F" w:rsidP="0025659F">
      <w:pPr>
        <w:jc w:val="both"/>
        <w:rPr>
          <w:i/>
          <w:iCs/>
          <w:sz w:val="18"/>
          <w:szCs w:val="18"/>
        </w:rPr>
      </w:pPr>
      <w:r w:rsidRPr="007D2E15">
        <w:rPr>
          <w:i/>
          <w:sz w:val="18"/>
        </w:rPr>
        <w:t>Crediti fotografici: Fronius International GmbH, riproduzione gratuita</w:t>
      </w:r>
    </w:p>
    <w:p w14:paraId="39055B6F" w14:textId="77777777" w:rsidR="004A4FE4" w:rsidRPr="003234A2" w:rsidRDefault="004A4FE4">
      <w:pPr>
        <w:rPr>
          <w:rFonts w:eastAsiaTheme="majorEastAsia" w:cstheme="majorBidi"/>
          <w:iCs/>
          <w:color w:val="000000" w:themeColor="text1"/>
          <w:sz w:val="20"/>
          <w:szCs w:val="20"/>
        </w:rPr>
      </w:pPr>
    </w:p>
    <w:p w14:paraId="2D4210D8" w14:textId="77777777" w:rsidR="0025659F" w:rsidRPr="007D2E15" w:rsidRDefault="0025659F" w:rsidP="0025659F">
      <w:pPr>
        <w:pStyle w:val="berschrift4"/>
        <w:jc w:val="both"/>
        <w:rPr>
          <w:sz w:val="20"/>
          <w:szCs w:val="20"/>
        </w:rPr>
      </w:pPr>
      <w:r w:rsidRPr="007D2E15">
        <w:rPr>
          <w:sz w:val="20"/>
        </w:rPr>
        <w:t>Business Unit Solar Energy</w:t>
      </w:r>
    </w:p>
    <w:p w14:paraId="5A8CFC18" w14:textId="77777777" w:rsidR="0025659F" w:rsidRPr="007D2E15" w:rsidRDefault="0025659F" w:rsidP="0025659F">
      <w:pPr>
        <w:jc w:val="both"/>
        <w:rPr>
          <w:sz w:val="20"/>
          <w:szCs w:val="20"/>
        </w:rPr>
      </w:pPr>
      <w:r w:rsidRPr="007D2E15">
        <w:rPr>
          <w:sz w:val="20"/>
        </w:rPr>
        <w:t>La Business Unit (BU) Fronius Solar Energy, fondata nel 1992, festeggia quest'anno 30 anni di attività. Con il motto "Energize your life" sviluppiamo soluzioni innovative che consentono di produrre, accumulare, distribuire e consumare l'energia solare in maniera economicamente efficiente e intelligente. Fronius Solar Energy rende possibile sfruttare 24 ore di sole, aprendo la strada a un futuro degno di essere vissuto, in cui le energie rinnovabili soddisferanno l'intero fabbisogno energetico mondiale. Le nostre soluzioni sono sviluppate e prodotte totalmente in Europa secondo il principio della sostenibilità e prevalentemente in Austria. Fronius Solar Energy è presente con 26 filiali in tutto il mondo e a oggi può vantare una potenza totale installata in inverter di oltre 25 GW. La vendita è affidata a una rete globale di partner commerciali, servizi di assistenza e installazione, tutti altamente affidabili.</w:t>
      </w:r>
    </w:p>
    <w:p w14:paraId="6DB00573" w14:textId="77777777" w:rsidR="0025659F" w:rsidRPr="007D2E15" w:rsidRDefault="0025659F" w:rsidP="0025659F">
      <w:pPr>
        <w:spacing w:after="0" w:line="240" w:lineRule="auto"/>
        <w:jc w:val="both"/>
        <w:rPr>
          <w:b/>
          <w:bCs/>
          <w:sz w:val="20"/>
          <w:szCs w:val="20"/>
        </w:rPr>
      </w:pPr>
      <w:bookmarkStart w:id="0" w:name="_Hlk107480427"/>
      <w:r w:rsidRPr="007D2E15">
        <w:rPr>
          <w:b/>
          <w:sz w:val="20"/>
        </w:rPr>
        <w:t>Noi siamo Fronius.</w:t>
      </w:r>
    </w:p>
    <w:bookmarkEnd w:id="0"/>
    <w:p w14:paraId="14CDF9BA" w14:textId="77777777" w:rsidR="0025659F" w:rsidRPr="007D2E15" w:rsidRDefault="0025659F" w:rsidP="0025659F">
      <w:pPr>
        <w:spacing w:after="0" w:line="240" w:lineRule="auto"/>
        <w:jc w:val="both"/>
        <w:rPr>
          <w:sz w:val="20"/>
          <w:szCs w:val="20"/>
        </w:rPr>
      </w:pPr>
      <w:r w:rsidRPr="007D2E15">
        <w:rPr>
          <w:sz w:val="20"/>
        </w:rPr>
        <w:t xml:space="preserve">Oltre 6.100 collaboratori in tutto il mondo, una quota di esportazione dell'89% e 1.366 brevetti attivi: questo siamo noi, questa è Fronius. Fondata nel 1945 come ditta individuale attiva a livello regionale, oggi Fronius è un'azienda globale, come dimostrano le 37 filiali internazionali e la rete di partner commerciali estesa in oltre 60 Paesi. Eppure, nel nostro animo, siamo ancora un'azienda austriaca a conduzione familiare attiva nel settore del fotovoltaico, della saldatura e </w:t>
      </w:r>
      <w:r w:rsidRPr="007D2E15">
        <w:rPr>
          <w:sz w:val="20"/>
        </w:rPr>
        <w:lastRenderedPageBreak/>
        <w:t>della tecnologia di ricarica delle batterie. Da sempre sviluppiamo prodotti e soluzioni per un futuro degno di essere vissuto, offrendo ai nostri clienti un pacchetto completo: dalla pianificazione preventiva alla consulenza fino al monitoraggio continuo e al servizio di riparazione su misura. Noi siamo innovativi. Noi siamo curiosi. Noi siamo Fronius.</w:t>
      </w:r>
    </w:p>
    <w:p w14:paraId="3CF20C3E" w14:textId="77777777" w:rsidR="0025659F" w:rsidRPr="007D2E15" w:rsidRDefault="0025659F" w:rsidP="0025659F">
      <w:pPr>
        <w:jc w:val="both"/>
        <w:rPr>
          <w:sz w:val="20"/>
          <w:szCs w:val="20"/>
        </w:rPr>
      </w:pPr>
    </w:p>
    <w:p w14:paraId="2CCC7ECA" w14:textId="77777777" w:rsidR="0025659F" w:rsidRDefault="0025659F" w:rsidP="0025659F">
      <w:pPr>
        <w:pStyle w:val="berschrift4"/>
        <w:jc w:val="both"/>
        <w:rPr>
          <w:sz w:val="20"/>
          <w:szCs w:val="20"/>
        </w:rPr>
      </w:pPr>
      <w:r>
        <w:rPr>
          <w:sz w:val="20"/>
        </w:rPr>
        <w:t>Per ulteriori informazioni, contattare</w:t>
      </w:r>
    </w:p>
    <w:p w14:paraId="3C28E42C" w14:textId="77777777" w:rsidR="0025659F" w:rsidRDefault="0025659F" w:rsidP="0025659F">
      <w:pPr>
        <w:rPr>
          <w:sz w:val="20"/>
          <w:szCs w:val="20"/>
        </w:rPr>
      </w:pPr>
      <w:r>
        <w:rPr>
          <w:sz w:val="20"/>
        </w:rPr>
        <w:t>Fronius International GmbH, Andrea SCHARTNER,</w:t>
      </w:r>
      <w:r>
        <w:rPr>
          <w:sz w:val="20"/>
        </w:rPr>
        <w:br/>
        <w:t xml:space="preserve">+43 664 88536765, </w:t>
      </w:r>
      <w:hyperlink r:id="rId11" w:history="1">
        <w:r>
          <w:rPr>
            <w:rStyle w:val="Hyperlink"/>
            <w:sz w:val="20"/>
          </w:rPr>
          <w:t>schartner.andrea@fronius.com</w:t>
        </w:r>
      </w:hyperlink>
      <w:r>
        <w:rPr>
          <w:sz w:val="20"/>
        </w:rPr>
        <w:t>,</w:t>
      </w:r>
      <w:r>
        <w:rPr>
          <w:sz w:val="20"/>
        </w:rPr>
        <w:br/>
        <w:t>Froniusplatz 1, 4600 Wels, Austria</w:t>
      </w:r>
    </w:p>
    <w:p w14:paraId="07C64F31" w14:textId="77777777" w:rsidR="0025659F" w:rsidRDefault="0025659F" w:rsidP="0025659F">
      <w:pPr>
        <w:spacing w:before="40" w:after="40" w:line="240" w:lineRule="auto"/>
        <w:rPr>
          <w:sz w:val="20"/>
        </w:rPr>
      </w:pPr>
      <w:r>
        <w:rPr>
          <w:sz w:val="20"/>
        </w:rPr>
        <w:t xml:space="preserve">Paola BASCHIROTTO, +39 3463 835504, </w:t>
      </w:r>
      <w:hyperlink r:id="rId12" w:history="1">
        <w:r>
          <w:rPr>
            <w:rStyle w:val="Hyperlink"/>
            <w:sz w:val="20"/>
            <w:szCs w:val="20"/>
          </w:rPr>
          <w:t>baschirotto.paola@fronius.com</w:t>
        </w:r>
      </w:hyperlink>
      <w:r>
        <w:rPr>
          <w:sz w:val="20"/>
        </w:rPr>
        <w:t xml:space="preserve">, Via dell'Agricoltura 46, </w:t>
      </w:r>
    </w:p>
    <w:p w14:paraId="5DD8D128" w14:textId="77777777" w:rsidR="0025659F" w:rsidRDefault="0025659F" w:rsidP="0025659F">
      <w:pPr>
        <w:spacing w:before="40" w:after="40" w:line="240" w:lineRule="auto"/>
        <w:rPr>
          <w:sz w:val="20"/>
        </w:rPr>
      </w:pPr>
      <w:r>
        <w:rPr>
          <w:sz w:val="20"/>
        </w:rPr>
        <w:t>37012 Bussolengo (Verona) Italia.</w:t>
      </w:r>
    </w:p>
    <w:p w14:paraId="61DCDADF" w14:textId="77777777" w:rsidR="0025659F" w:rsidRDefault="0025659F" w:rsidP="0025659F">
      <w:pPr>
        <w:spacing w:before="40" w:after="40" w:line="240" w:lineRule="auto"/>
        <w:rPr>
          <w:color w:val="000000" w:themeColor="text1"/>
          <w:sz w:val="20"/>
          <w:u w:val="single"/>
        </w:rPr>
      </w:pPr>
    </w:p>
    <w:p w14:paraId="70C59A10" w14:textId="77777777" w:rsidR="0025659F" w:rsidRDefault="0025659F" w:rsidP="0025659F">
      <w:pPr>
        <w:spacing w:before="40" w:after="40" w:line="240" w:lineRule="auto"/>
        <w:rPr>
          <w:rStyle w:val="Hyperlink"/>
          <w:szCs w:val="20"/>
        </w:rPr>
      </w:pPr>
      <w:r>
        <w:rPr>
          <w:color w:val="000000" w:themeColor="text1"/>
          <w:sz w:val="20"/>
          <w:u w:val="single"/>
        </w:rPr>
        <w:t>Copia esemplare</w:t>
      </w:r>
      <w:r>
        <w:rPr>
          <w:color w:val="000000" w:themeColor="text1"/>
          <w:sz w:val="20"/>
          <w:u w:val="single"/>
        </w:rPr>
        <w:br/>
      </w:r>
      <w:r>
        <w:rPr>
          <w:sz w:val="20"/>
        </w:rPr>
        <w:t>a1kommunikation Schweizer GmbH, Rüdiger KEMPA,</w:t>
      </w:r>
      <w:r>
        <w:rPr>
          <w:sz w:val="20"/>
        </w:rPr>
        <w:br/>
      </w:r>
      <w:hyperlink r:id="rId13" w:history="1">
        <w:r>
          <w:rPr>
            <w:rStyle w:val="Hyperlink"/>
            <w:sz w:val="20"/>
          </w:rPr>
          <w:t>rke@a1kommunikation.de</w:t>
        </w:r>
      </w:hyperlink>
    </w:p>
    <w:p w14:paraId="67B45E15" w14:textId="77777777" w:rsidR="0025659F" w:rsidRDefault="0025659F" w:rsidP="0025659F">
      <w:pPr>
        <w:spacing w:before="40" w:after="40" w:line="240" w:lineRule="auto"/>
      </w:pPr>
      <w:r>
        <w:rPr>
          <w:sz w:val="20"/>
        </w:rPr>
        <w:t>Oberdorfstraße 31A, 70794 Filderstadt, Germania</w:t>
      </w:r>
    </w:p>
    <w:p w14:paraId="0D8A38A7" w14:textId="77777777" w:rsidR="0025659F" w:rsidRDefault="0025659F" w:rsidP="0025659F">
      <w:pPr>
        <w:jc w:val="both"/>
        <w:rPr>
          <w:sz w:val="16"/>
          <w:szCs w:val="16"/>
        </w:rPr>
      </w:pPr>
    </w:p>
    <w:p w14:paraId="0AAC1D29" w14:textId="77777777" w:rsidR="0025659F" w:rsidRDefault="0025659F" w:rsidP="0025659F">
      <w:pPr>
        <w:jc w:val="both"/>
        <w:rPr>
          <w:sz w:val="16"/>
          <w:szCs w:val="16"/>
        </w:rPr>
      </w:pPr>
      <w:r>
        <w:rPr>
          <w:sz w:val="16"/>
        </w:rPr>
        <w:t xml:space="preserve">Se non si desidera più ricevere comunicati stampa da Fronius International GmbH, Business Unit Solar Energy, rispondere con "UNSUBSCRIBE" all'indirizzo e-mail </w:t>
      </w:r>
      <w:hyperlink r:id="rId14" w:history="1">
        <w:r>
          <w:rPr>
            <w:rStyle w:val="Hyperlink"/>
            <w:sz w:val="16"/>
          </w:rPr>
          <w:t>cancellation@fronius.com</w:t>
        </w:r>
      </w:hyperlink>
      <w:r>
        <w:rPr>
          <w:sz w:val="16"/>
        </w:rPr>
        <w:t>.</w:t>
      </w:r>
    </w:p>
    <w:p w14:paraId="07E7741B" w14:textId="77777777" w:rsidR="0025659F" w:rsidRPr="007D2E15" w:rsidRDefault="0025659F" w:rsidP="0025659F">
      <w:pPr>
        <w:jc w:val="both"/>
        <w:rPr>
          <w:sz w:val="16"/>
          <w:szCs w:val="16"/>
        </w:rPr>
      </w:pPr>
    </w:p>
    <w:p w14:paraId="790215F6" w14:textId="1D71AE8D" w:rsidR="00670F02" w:rsidRPr="00604BFB" w:rsidRDefault="00670F02" w:rsidP="0025659F">
      <w:pPr>
        <w:pStyle w:val="berschrift4"/>
        <w:jc w:val="both"/>
        <w:rPr>
          <w:sz w:val="16"/>
          <w:szCs w:val="16"/>
        </w:rPr>
      </w:pPr>
    </w:p>
    <w:sectPr w:rsidR="00670F02" w:rsidRPr="00604BFB">
      <w:headerReference w:type="default" r:id="rId15"/>
      <w:footerReference w:type="default" r:id="rId1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D4CF5C" w14:textId="77777777" w:rsidR="002505C1" w:rsidRDefault="002505C1" w:rsidP="00B54547">
      <w:pPr>
        <w:spacing w:after="0" w:line="240" w:lineRule="auto"/>
      </w:pPr>
      <w:r>
        <w:separator/>
      </w:r>
    </w:p>
  </w:endnote>
  <w:endnote w:type="continuationSeparator" w:id="0">
    <w:p w14:paraId="25BCF00E" w14:textId="77777777" w:rsidR="002505C1" w:rsidRDefault="002505C1"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w:panose1 w:val="020B0502040504020204"/>
    <w:charset w:val="00"/>
    <w:family w:val="swiss"/>
    <w:pitch w:val="variable"/>
    <w:sig w:usb0="E00002FF" w:usb1="4000201F" w:usb2="08000029" w:usb3="00000000" w:csb0="000001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Classe di informazioni: pubbliche</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Classe di informazioni: pubbliche</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A3DAF5" w14:textId="77777777" w:rsidR="002505C1" w:rsidRDefault="002505C1" w:rsidP="00B54547">
      <w:pPr>
        <w:spacing w:after="0" w:line="240" w:lineRule="auto"/>
      </w:pPr>
      <w:r>
        <w:separator/>
      </w:r>
    </w:p>
  </w:footnote>
  <w:footnote w:type="continuationSeparator" w:id="0">
    <w:p w14:paraId="5739EFC2" w14:textId="77777777" w:rsidR="002505C1" w:rsidRDefault="002505C1"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0F5317D7"/>
    <w:multiLevelType w:val="hybridMultilevel"/>
    <w:tmpl w:val="ADBA244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18E82905"/>
    <w:multiLevelType w:val="hybridMultilevel"/>
    <w:tmpl w:val="7A1E4982"/>
    <w:lvl w:ilvl="0" w:tplc="2160C7D2">
      <w:numFmt w:val="bullet"/>
      <w:lvlText w:val="-"/>
      <w:lvlJc w:val="left"/>
      <w:pPr>
        <w:ind w:left="405" w:hanging="360"/>
      </w:pPr>
      <w:rPr>
        <w:rFonts w:ascii="Noto Sans" w:eastAsiaTheme="minorHAnsi" w:hAnsi="Noto Sans" w:cs="Noto Sans" w:hint="default"/>
        <w:i/>
      </w:rPr>
    </w:lvl>
    <w:lvl w:ilvl="1" w:tplc="0C070003" w:tentative="1">
      <w:start w:val="1"/>
      <w:numFmt w:val="bullet"/>
      <w:lvlText w:val="o"/>
      <w:lvlJc w:val="left"/>
      <w:pPr>
        <w:ind w:left="1125" w:hanging="360"/>
      </w:pPr>
      <w:rPr>
        <w:rFonts w:ascii="Courier New" w:hAnsi="Courier New" w:cs="Courier New" w:hint="default"/>
      </w:rPr>
    </w:lvl>
    <w:lvl w:ilvl="2" w:tplc="0C070005" w:tentative="1">
      <w:start w:val="1"/>
      <w:numFmt w:val="bullet"/>
      <w:lvlText w:val=""/>
      <w:lvlJc w:val="left"/>
      <w:pPr>
        <w:ind w:left="1845" w:hanging="360"/>
      </w:pPr>
      <w:rPr>
        <w:rFonts w:ascii="Wingdings" w:hAnsi="Wingdings" w:hint="default"/>
      </w:rPr>
    </w:lvl>
    <w:lvl w:ilvl="3" w:tplc="0C070001" w:tentative="1">
      <w:start w:val="1"/>
      <w:numFmt w:val="bullet"/>
      <w:lvlText w:val=""/>
      <w:lvlJc w:val="left"/>
      <w:pPr>
        <w:ind w:left="2565" w:hanging="360"/>
      </w:pPr>
      <w:rPr>
        <w:rFonts w:ascii="Symbol" w:hAnsi="Symbol" w:hint="default"/>
      </w:rPr>
    </w:lvl>
    <w:lvl w:ilvl="4" w:tplc="0C070003" w:tentative="1">
      <w:start w:val="1"/>
      <w:numFmt w:val="bullet"/>
      <w:lvlText w:val="o"/>
      <w:lvlJc w:val="left"/>
      <w:pPr>
        <w:ind w:left="3285" w:hanging="360"/>
      </w:pPr>
      <w:rPr>
        <w:rFonts w:ascii="Courier New" w:hAnsi="Courier New" w:cs="Courier New" w:hint="default"/>
      </w:rPr>
    </w:lvl>
    <w:lvl w:ilvl="5" w:tplc="0C070005" w:tentative="1">
      <w:start w:val="1"/>
      <w:numFmt w:val="bullet"/>
      <w:lvlText w:val=""/>
      <w:lvlJc w:val="left"/>
      <w:pPr>
        <w:ind w:left="4005" w:hanging="360"/>
      </w:pPr>
      <w:rPr>
        <w:rFonts w:ascii="Wingdings" w:hAnsi="Wingdings" w:hint="default"/>
      </w:rPr>
    </w:lvl>
    <w:lvl w:ilvl="6" w:tplc="0C070001" w:tentative="1">
      <w:start w:val="1"/>
      <w:numFmt w:val="bullet"/>
      <w:lvlText w:val=""/>
      <w:lvlJc w:val="left"/>
      <w:pPr>
        <w:ind w:left="4725" w:hanging="360"/>
      </w:pPr>
      <w:rPr>
        <w:rFonts w:ascii="Symbol" w:hAnsi="Symbol" w:hint="default"/>
      </w:rPr>
    </w:lvl>
    <w:lvl w:ilvl="7" w:tplc="0C070003" w:tentative="1">
      <w:start w:val="1"/>
      <w:numFmt w:val="bullet"/>
      <w:lvlText w:val="o"/>
      <w:lvlJc w:val="left"/>
      <w:pPr>
        <w:ind w:left="5445" w:hanging="360"/>
      </w:pPr>
      <w:rPr>
        <w:rFonts w:ascii="Courier New" w:hAnsi="Courier New" w:cs="Courier New" w:hint="default"/>
      </w:rPr>
    </w:lvl>
    <w:lvl w:ilvl="8" w:tplc="0C070005" w:tentative="1">
      <w:start w:val="1"/>
      <w:numFmt w:val="bullet"/>
      <w:lvlText w:val=""/>
      <w:lvlJc w:val="left"/>
      <w:pPr>
        <w:ind w:left="6165" w:hanging="360"/>
      </w:pPr>
      <w:rPr>
        <w:rFonts w:ascii="Wingdings" w:hAnsi="Wingdings" w:hint="default"/>
      </w:rPr>
    </w:lvl>
  </w:abstractNum>
  <w:abstractNum w:abstractNumId="4"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7"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8"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9" w15:restartNumberingAfterBreak="0">
    <w:nsid w:val="57D71B4C"/>
    <w:multiLevelType w:val="hybridMultilevel"/>
    <w:tmpl w:val="C8A643FC"/>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10"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1" w15:restartNumberingAfterBreak="0">
    <w:nsid w:val="6F421678"/>
    <w:multiLevelType w:val="hybridMultilevel"/>
    <w:tmpl w:val="4E6E23F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44986809">
    <w:abstractNumId w:val="10"/>
  </w:num>
  <w:num w:numId="2" w16cid:durableId="20741609">
    <w:abstractNumId w:val="0"/>
  </w:num>
  <w:num w:numId="3" w16cid:durableId="1189872239">
    <w:abstractNumId w:val="6"/>
  </w:num>
  <w:num w:numId="4" w16cid:durableId="1547373761">
    <w:abstractNumId w:val="8"/>
  </w:num>
  <w:num w:numId="5" w16cid:durableId="2110468141">
    <w:abstractNumId w:val="7"/>
  </w:num>
  <w:num w:numId="6" w16cid:durableId="1034384457">
    <w:abstractNumId w:val="1"/>
  </w:num>
  <w:num w:numId="7" w16cid:durableId="191187278">
    <w:abstractNumId w:val="5"/>
  </w:num>
  <w:num w:numId="8" w16cid:durableId="986014788">
    <w:abstractNumId w:val="4"/>
  </w:num>
  <w:num w:numId="9" w16cid:durableId="1506508248">
    <w:abstractNumId w:val="9"/>
  </w:num>
  <w:num w:numId="10" w16cid:durableId="1849101602">
    <w:abstractNumId w:val="2"/>
  </w:num>
  <w:num w:numId="11" w16cid:durableId="416558121">
    <w:abstractNumId w:val="11"/>
  </w:num>
  <w:num w:numId="12" w16cid:durableId="14905615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30C3B"/>
    <w:rsid w:val="00031163"/>
    <w:rsid w:val="00060854"/>
    <w:rsid w:val="00061FB8"/>
    <w:rsid w:val="0006318F"/>
    <w:rsid w:val="000656D1"/>
    <w:rsid w:val="000B082C"/>
    <w:rsid w:val="000C21B3"/>
    <w:rsid w:val="000E199C"/>
    <w:rsid w:val="000F0C31"/>
    <w:rsid w:val="000F4848"/>
    <w:rsid w:val="00102F0B"/>
    <w:rsid w:val="00123EA6"/>
    <w:rsid w:val="0015484D"/>
    <w:rsid w:val="001668E3"/>
    <w:rsid w:val="001832B8"/>
    <w:rsid w:val="00196F99"/>
    <w:rsid w:val="0019794E"/>
    <w:rsid w:val="001A34C4"/>
    <w:rsid w:val="001B4713"/>
    <w:rsid w:val="001B6815"/>
    <w:rsid w:val="001B7899"/>
    <w:rsid w:val="001F32BF"/>
    <w:rsid w:val="001F4980"/>
    <w:rsid w:val="00202BA1"/>
    <w:rsid w:val="002179E1"/>
    <w:rsid w:val="0024308B"/>
    <w:rsid w:val="002505C1"/>
    <w:rsid w:val="0025659F"/>
    <w:rsid w:val="00260A88"/>
    <w:rsid w:val="002614B5"/>
    <w:rsid w:val="00282219"/>
    <w:rsid w:val="002846EC"/>
    <w:rsid w:val="00285AAA"/>
    <w:rsid w:val="002872A5"/>
    <w:rsid w:val="002A2778"/>
    <w:rsid w:val="002C6F9D"/>
    <w:rsid w:val="002D112D"/>
    <w:rsid w:val="002D7A44"/>
    <w:rsid w:val="002E4785"/>
    <w:rsid w:val="002F207D"/>
    <w:rsid w:val="0030062E"/>
    <w:rsid w:val="00303739"/>
    <w:rsid w:val="00321F21"/>
    <w:rsid w:val="003234A2"/>
    <w:rsid w:val="003405C8"/>
    <w:rsid w:val="003773D6"/>
    <w:rsid w:val="00390D2E"/>
    <w:rsid w:val="003932FE"/>
    <w:rsid w:val="003B7D5E"/>
    <w:rsid w:val="003C25DA"/>
    <w:rsid w:val="003C2D73"/>
    <w:rsid w:val="003E6855"/>
    <w:rsid w:val="003E7E44"/>
    <w:rsid w:val="00403C78"/>
    <w:rsid w:val="00404DBE"/>
    <w:rsid w:val="00415092"/>
    <w:rsid w:val="00424297"/>
    <w:rsid w:val="00427051"/>
    <w:rsid w:val="004332AD"/>
    <w:rsid w:val="004349E3"/>
    <w:rsid w:val="0044171E"/>
    <w:rsid w:val="004420B7"/>
    <w:rsid w:val="00444E74"/>
    <w:rsid w:val="004472BA"/>
    <w:rsid w:val="00451F65"/>
    <w:rsid w:val="00455012"/>
    <w:rsid w:val="00470A9D"/>
    <w:rsid w:val="0048226C"/>
    <w:rsid w:val="004823B0"/>
    <w:rsid w:val="004A4FE4"/>
    <w:rsid w:val="004A6456"/>
    <w:rsid w:val="004D6DF2"/>
    <w:rsid w:val="004E0922"/>
    <w:rsid w:val="004F2092"/>
    <w:rsid w:val="0051114E"/>
    <w:rsid w:val="00512C4C"/>
    <w:rsid w:val="005277EB"/>
    <w:rsid w:val="00556B1C"/>
    <w:rsid w:val="005737EF"/>
    <w:rsid w:val="00582BF5"/>
    <w:rsid w:val="005836A8"/>
    <w:rsid w:val="005874EF"/>
    <w:rsid w:val="005A26BF"/>
    <w:rsid w:val="005B737F"/>
    <w:rsid w:val="005D1521"/>
    <w:rsid w:val="005D1748"/>
    <w:rsid w:val="005D1AEB"/>
    <w:rsid w:val="005D322D"/>
    <w:rsid w:val="005E62BC"/>
    <w:rsid w:val="005E7892"/>
    <w:rsid w:val="005F0FE1"/>
    <w:rsid w:val="005F1607"/>
    <w:rsid w:val="00604BFB"/>
    <w:rsid w:val="00612FD3"/>
    <w:rsid w:val="00670F02"/>
    <w:rsid w:val="006747C7"/>
    <w:rsid w:val="0069592E"/>
    <w:rsid w:val="006A70EA"/>
    <w:rsid w:val="006B3354"/>
    <w:rsid w:val="006B5239"/>
    <w:rsid w:val="006B7AB4"/>
    <w:rsid w:val="006D09D8"/>
    <w:rsid w:val="006D1F17"/>
    <w:rsid w:val="006D2AEF"/>
    <w:rsid w:val="006D6430"/>
    <w:rsid w:val="00703F47"/>
    <w:rsid w:val="007252E6"/>
    <w:rsid w:val="00725FA1"/>
    <w:rsid w:val="00730C60"/>
    <w:rsid w:val="00740041"/>
    <w:rsid w:val="00766FC0"/>
    <w:rsid w:val="00785D72"/>
    <w:rsid w:val="007A57E3"/>
    <w:rsid w:val="007B76AF"/>
    <w:rsid w:val="007C57F8"/>
    <w:rsid w:val="007C61B7"/>
    <w:rsid w:val="0080225A"/>
    <w:rsid w:val="00802871"/>
    <w:rsid w:val="0081465F"/>
    <w:rsid w:val="00816914"/>
    <w:rsid w:val="00831633"/>
    <w:rsid w:val="008404EE"/>
    <w:rsid w:val="00860CC8"/>
    <w:rsid w:val="0086230A"/>
    <w:rsid w:val="008A104F"/>
    <w:rsid w:val="008A721F"/>
    <w:rsid w:val="008C5190"/>
    <w:rsid w:val="008D7983"/>
    <w:rsid w:val="008E1774"/>
    <w:rsid w:val="008E7D37"/>
    <w:rsid w:val="008F07F6"/>
    <w:rsid w:val="008F2EE0"/>
    <w:rsid w:val="008F3118"/>
    <w:rsid w:val="008F4ED5"/>
    <w:rsid w:val="008F54A6"/>
    <w:rsid w:val="00906679"/>
    <w:rsid w:val="00925DAC"/>
    <w:rsid w:val="00933F3D"/>
    <w:rsid w:val="00962B6D"/>
    <w:rsid w:val="00963BB4"/>
    <w:rsid w:val="009F152F"/>
    <w:rsid w:val="00A00555"/>
    <w:rsid w:val="00A55F83"/>
    <w:rsid w:val="00A66F74"/>
    <w:rsid w:val="00A67B55"/>
    <w:rsid w:val="00A81E2B"/>
    <w:rsid w:val="00A978C6"/>
    <w:rsid w:val="00A97A1B"/>
    <w:rsid w:val="00AC02A0"/>
    <w:rsid w:val="00AC61D0"/>
    <w:rsid w:val="00AC65BB"/>
    <w:rsid w:val="00AE086C"/>
    <w:rsid w:val="00AE7975"/>
    <w:rsid w:val="00B008CE"/>
    <w:rsid w:val="00B107A9"/>
    <w:rsid w:val="00B25C3B"/>
    <w:rsid w:val="00B309A8"/>
    <w:rsid w:val="00B31062"/>
    <w:rsid w:val="00B37D8D"/>
    <w:rsid w:val="00B501CF"/>
    <w:rsid w:val="00B52F2E"/>
    <w:rsid w:val="00B54547"/>
    <w:rsid w:val="00B63556"/>
    <w:rsid w:val="00B82141"/>
    <w:rsid w:val="00B8257D"/>
    <w:rsid w:val="00B95BCC"/>
    <w:rsid w:val="00BE13D2"/>
    <w:rsid w:val="00BE64CC"/>
    <w:rsid w:val="00BF2F5E"/>
    <w:rsid w:val="00C02BD4"/>
    <w:rsid w:val="00C15622"/>
    <w:rsid w:val="00C17BEE"/>
    <w:rsid w:val="00C235BA"/>
    <w:rsid w:val="00C44B9C"/>
    <w:rsid w:val="00C921A2"/>
    <w:rsid w:val="00C93388"/>
    <w:rsid w:val="00C939B3"/>
    <w:rsid w:val="00C93EBB"/>
    <w:rsid w:val="00CA1962"/>
    <w:rsid w:val="00CA56AD"/>
    <w:rsid w:val="00CB1448"/>
    <w:rsid w:val="00CC0612"/>
    <w:rsid w:val="00CD432F"/>
    <w:rsid w:val="00D0522E"/>
    <w:rsid w:val="00D120B2"/>
    <w:rsid w:val="00D22B0A"/>
    <w:rsid w:val="00D32E1B"/>
    <w:rsid w:val="00D44135"/>
    <w:rsid w:val="00D61309"/>
    <w:rsid w:val="00D77E57"/>
    <w:rsid w:val="00D85A03"/>
    <w:rsid w:val="00DA6B34"/>
    <w:rsid w:val="00DB3BA5"/>
    <w:rsid w:val="00DB7924"/>
    <w:rsid w:val="00DD51EC"/>
    <w:rsid w:val="00DE201A"/>
    <w:rsid w:val="00DE3F47"/>
    <w:rsid w:val="00DF5290"/>
    <w:rsid w:val="00E22999"/>
    <w:rsid w:val="00E60432"/>
    <w:rsid w:val="00E83DD7"/>
    <w:rsid w:val="00E844C4"/>
    <w:rsid w:val="00E9591C"/>
    <w:rsid w:val="00EA26EC"/>
    <w:rsid w:val="00EA52A7"/>
    <w:rsid w:val="00EC6E68"/>
    <w:rsid w:val="00ED221B"/>
    <w:rsid w:val="00ED45E9"/>
    <w:rsid w:val="00ED5549"/>
    <w:rsid w:val="00F05EE4"/>
    <w:rsid w:val="00F131D4"/>
    <w:rsid w:val="00F31873"/>
    <w:rsid w:val="00F617C6"/>
    <w:rsid w:val="00F67725"/>
    <w:rsid w:val="00F71FE8"/>
    <w:rsid w:val="00F75D7F"/>
    <w:rsid w:val="00FC5BFA"/>
    <w:rsid w:val="00FD0EE7"/>
    <w:rsid w:val="00FD50E0"/>
    <w:rsid w:val="00FE3F42"/>
    <w:rsid w:val="00FF0C18"/>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it-IT"/>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it-IT"/>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5F0FE1"/>
    <w:rPr>
      <w:sz w:val="16"/>
      <w:szCs w:val="16"/>
    </w:rPr>
  </w:style>
  <w:style w:type="paragraph" w:styleId="Kommentartext">
    <w:name w:val="annotation text"/>
    <w:basedOn w:val="Standard"/>
    <w:link w:val="KommentartextZchn"/>
    <w:uiPriority w:val="99"/>
    <w:unhideWhenUsed/>
    <w:rsid w:val="005F0FE1"/>
    <w:pPr>
      <w:spacing w:line="240" w:lineRule="auto"/>
    </w:pPr>
    <w:rPr>
      <w:sz w:val="20"/>
      <w:szCs w:val="20"/>
    </w:rPr>
  </w:style>
  <w:style w:type="character" w:customStyle="1" w:styleId="KommentartextZchn">
    <w:name w:val="Kommentartext Zchn"/>
    <w:basedOn w:val="Absatz-Standardschriftart"/>
    <w:link w:val="Kommentartext"/>
    <w:uiPriority w:val="99"/>
    <w:rsid w:val="005F0FE1"/>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5F0FE1"/>
    <w:rPr>
      <w:b/>
      <w:bCs/>
    </w:rPr>
  </w:style>
  <w:style w:type="character" w:customStyle="1" w:styleId="KommentarthemaZchn">
    <w:name w:val="Kommentarthema Zchn"/>
    <w:basedOn w:val="KommentartextZchn"/>
    <w:link w:val="Kommentarthema"/>
    <w:uiPriority w:val="99"/>
    <w:semiHidden/>
    <w:rsid w:val="005F0FE1"/>
    <w:rPr>
      <w:rFonts w:ascii="Noto Sans" w:hAnsi="Noto Sans"/>
      <w:b/>
      <w:bCs/>
      <w:sz w:val="20"/>
      <w:szCs w:val="20"/>
    </w:rPr>
  </w:style>
  <w:style w:type="paragraph" w:styleId="berarbeitung">
    <w:name w:val="Revision"/>
    <w:hidden/>
    <w:uiPriority w:val="99"/>
    <w:semiHidden/>
    <w:rsid w:val="00ED45E9"/>
    <w:pPr>
      <w:spacing w:after="0" w:line="240" w:lineRule="auto"/>
    </w:pPr>
    <w:rPr>
      <w:rFonts w:ascii="Noto Sans" w:hAnsi="Noto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9543939">
      <w:bodyDiv w:val="1"/>
      <w:marLeft w:val="0"/>
      <w:marRight w:val="0"/>
      <w:marTop w:val="0"/>
      <w:marBottom w:val="0"/>
      <w:divBdr>
        <w:top w:val="none" w:sz="0" w:space="0" w:color="auto"/>
        <w:left w:val="none" w:sz="0" w:space="0" w:color="auto"/>
        <w:bottom w:val="none" w:sz="0" w:space="0" w:color="auto"/>
        <w:right w:val="none" w:sz="0" w:space="0" w:color="auto"/>
      </w:divBdr>
    </w:div>
    <w:div w:id="612323058">
      <w:bodyDiv w:val="1"/>
      <w:marLeft w:val="0"/>
      <w:marRight w:val="0"/>
      <w:marTop w:val="0"/>
      <w:marBottom w:val="0"/>
      <w:divBdr>
        <w:top w:val="none" w:sz="0" w:space="0" w:color="auto"/>
        <w:left w:val="none" w:sz="0" w:space="0" w:color="auto"/>
        <w:bottom w:val="none" w:sz="0" w:space="0" w:color="auto"/>
        <w:right w:val="none" w:sz="0" w:space="0" w:color="auto"/>
      </w:divBdr>
    </w:div>
    <w:div w:id="735054302">
      <w:bodyDiv w:val="1"/>
      <w:marLeft w:val="0"/>
      <w:marRight w:val="0"/>
      <w:marTop w:val="0"/>
      <w:marBottom w:val="0"/>
      <w:divBdr>
        <w:top w:val="none" w:sz="0" w:space="0" w:color="auto"/>
        <w:left w:val="none" w:sz="0" w:space="0" w:color="auto"/>
        <w:bottom w:val="none" w:sz="0" w:space="0" w:color="auto"/>
        <w:right w:val="none" w:sz="0" w:space="0" w:color="auto"/>
      </w:divBdr>
    </w:div>
    <w:div w:id="918828545">
      <w:bodyDiv w:val="1"/>
      <w:marLeft w:val="0"/>
      <w:marRight w:val="0"/>
      <w:marTop w:val="0"/>
      <w:marBottom w:val="0"/>
      <w:divBdr>
        <w:top w:val="none" w:sz="0" w:space="0" w:color="auto"/>
        <w:left w:val="none" w:sz="0" w:space="0" w:color="auto"/>
        <w:bottom w:val="none" w:sz="0" w:space="0" w:color="auto"/>
        <w:right w:val="none" w:sz="0" w:space="0" w:color="auto"/>
      </w:divBdr>
    </w:div>
    <w:div w:id="1129317936">
      <w:bodyDiv w:val="1"/>
      <w:marLeft w:val="0"/>
      <w:marRight w:val="0"/>
      <w:marTop w:val="0"/>
      <w:marBottom w:val="0"/>
      <w:divBdr>
        <w:top w:val="none" w:sz="0" w:space="0" w:color="auto"/>
        <w:left w:val="none" w:sz="0" w:space="0" w:color="auto"/>
        <w:bottom w:val="none" w:sz="0" w:space="0" w:color="auto"/>
        <w:right w:val="none" w:sz="0" w:space="0" w:color="auto"/>
      </w:divBdr>
    </w:div>
    <w:div w:id="1346404013">
      <w:bodyDiv w:val="1"/>
      <w:marLeft w:val="0"/>
      <w:marRight w:val="0"/>
      <w:marTop w:val="0"/>
      <w:marBottom w:val="0"/>
      <w:divBdr>
        <w:top w:val="none" w:sz="0" w:space="0" w:color="auto"/>
        <w:left w:val="none" w:sz="0" w:space="0" w:color="auto"/>
        <w:bottom w:val="none" w:sz="0" w:space="0" w:color="auto"/>
        <w:right w:val="none" w:sz="0" w:space="0" w:color="auto"/>
      </w:divBdr>
    </w:div>
    <w:div w:id="1452018865">
      <w:bodyDiv w:val="1"/>
      <w:marLeft w:val="0"/>
      <w:marRight w:val="0"/>
      <w:marTop w:val="0"/>
      <w:marBottom w:val="0"/>
      <w:divBdr>
        <w:top w:val="none" w:sz="0" w:space="0" w:color="auto"/>
        <w:left w:val="none" w:sz="0" w:space="0" w:color="auto"/>
        <w:bottom w:val="none" w:sz="0" w:space="0" w:color="auto"/>
        <w:right w:val="none" w:sz="0" w:space="0" w:color="auto"/>
      </w:divBdr>
    </w:div>
    <w:div w:id="1676490230">
      <w:bodyDiv w:val="1"/>
      <w:marLeft w:val="0"/>
      <w:marRight w:val="0"/>
      <w:marTop w:val="0"/>
      <w:marBottom w:val="0"/>
      <w:divBdr>
        <w:top w:val="none" w:sz="0" w:space="0" w:color="auto"/>
        <w:left w:val="none" w:sz="0" w:space="0" w:color="auto"/>
        <w:bottom w:val="none" w:sz="0" w:space="0" w:color="auto"/>
        <w:right w:val="none" w:sz="0" w:space="0" w:color="auto"/>
      </w:divBdr>
    </w:div>
    <w:div w:id="2000305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rke@a1kommunikation.de" TargetMode="Externa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yperlink" Target="mailto:Baschirotto.Paola@fronius.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chartner.andrea@fronius.com" TargetMode="Externa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customXml" Target="../customXml/item6.xml"/><Relationship Id="rId10" Type="http://schemas.openxmlformats.org/officeDocument/2006/relationships/image" Target="media/image3.jpeg"/><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cancellation@fronius.com" TargetMode="External"/><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Produktion läuft auf Hochtouren 2022/12</title_TI_DE>
    <title_TI_NO xmlns="dc0c2c3d-e9fc-4a0d-820b-87ab82e65f20">Production at Full Speed 2022/12</title_TI_NO>
    <Documenttype_PT xmlns="dc0c2c3d-e9fc-4a0d-820b-87ab82e65f20">Comunicado à imprensa</Documenttype_PT>
    <Documenttype_RU xmlns="dc0c2c3d-e9fc-4a0d-820b-87ab82e65f20">Пресс-релиз</Documenttype_RU>
    <title_TI_TR xmlns="dc0c2c3d-e9fc-4a0d-820b-87ab82e65f20">Production at Full Speed 2022/12</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Production at Full Speed 2022/12</title_TI_TH>
    <Licence_x0020_information xmlns="dc0c2c3d-e9fc-4a0d-820b-87ab82e65f20">(c) Fronius International</Licence_x0020_information>
    <title_TI_EA xmlns="dc0c2c3d-e9fc-4a0d-820b-87ab82e65f20">Production at Full Speed 2022/12</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#IT</TermName>
          <TermId xmlns="http://schemas.microsoft.com/office/infopath/2007/PartnerControls">ab4b68f7-1700-40a2-af1b-15691cfd4f91</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Production at Full Speed 2022/12</title_TI_DA>
    <Documenttype_TR xmlns="dc0c2c3d-e9fc-4a0d-820b-87ab82e65f20">Basın bülteni</Documenttype_TR>
    <title_TI_PL xmlns="dc0c2c3d-e9fc-4a0d-820b-87ab82e65f20">Production at Full Speed 2022/12</title_TI_PL>
    <Documenttype_TH xmlns="dc0c2c3d-e9fc-4a0d-820b-87ab82e65f20">ข่าวประชาสัมพันธ์</Documenttype_TH>
    <title_TI_EL xmlns="dc0c2c3d-e9fc-4a0d-820b-87ab82e65f20">Production at Full Speed 2022/12</title_TI_EL>
    <Documenttype_EA xmlns="dc0c2c3d-e9fc-4a0d-820b-87ab82e65f20">Press Release</Documenttype_EA>
    <Web_x0020_Display_x0020_Title_x0020_ET xmlns="dc0c2c3d-e9fc-4a0d-820b-87ab82e65f20">Production at Full Speed 2022/12</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Production at Full Speed 2022/12</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Production at Full Speed 2022/12</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C-139030</FileMaster>
    <title_TI_NL xmlns="dc0c2c3d-e9fc-4a0d-820b-87ab82e65f20">Production at Full Speed 2022/12</title_TI_NL>
    <contentservId xmlns="c4543867-fb67-4424-a255-4d54d75e50e3">C-139036</contentservId>
    <title_TI_IT xmlns="dc0c2c3d-e9fc-4a0d-820b-87ab82e65f20">Production at Full Speed 2022/12</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Production at Full Speed 2022/12</title_TI_UA>
    <title_TI_JP xmlns="dc0c2c3d-e9fc-4a0d-820b-87ab82e65f20">Production at Full Speed 2022/12</title_TI_JP>
    <Documenttype_NL xmlns="dc0c2c3d-e9fc-4a0d-820b-87ab82e65f20">Persbericht</Documenttype_NL>
    <title_TI_RO xmlns="dc0c2c3d-e9fc-4a0d-820b-87ab82e65f20">Production at Full Speed 2022/12</title_TI_RO>
    <Documenttype_NB xmlns="c4543867-fb67-4424-a255-4d54d75e50e3">Presseinformasjon</Documenttype_NB>
    <title_ti_nb xmlns="dc0c2c3d-e9fc-4a0d-820b-87ab82e65f20" xsi:nil="true"/>
    <title_TI_ES xmlns="dc0c2c3d-e9fc-4a0d-820b-87ab82e65f20">Production at Full Speed 2022/12</title_TI_ES>
    <title_TI_JA xmlns="dc0c2c3d-e9fc-4a0d-820b-87ab82e65f20">Production at Full Speed 2022/12</title_TI_JA>
    <Documenttype_IT xmlns="dc0c2c3d-e9fc-4a0d-820b-87ab82e65f20">Comunicato stampa</Documenttype_IT>
    <Documenttype_ZH xmlns="dc0c2c3d-e9fc-4a0d-820b-87ab82e65f20">Press Release</Documenttype_ZH>
    <TaxCatchAll xmlns="92f60987-cbcc-4245-baaf-239af3bfd6e8">
      <Value>262</Value>
      <Value>1</Value>
    </TaxCatchAll>
    <AGB xmlns="dc0c2c3d-e9fc-4a0d-820b-87ab82e65f20">false</AGB>
    <title_TI_EN xmlns="dc0c2c3d-e9fc-4a0d-820b-87ab82e65f20">Production at Full Speed 2022/12</title_TI_EN>
    <MRMKeyWords xmlns="dc0c2c3d-e9fc-4a0d-820b-87ab82e65f20">#Presse#Produktion#Sattledt#Solar Energy#PV Anlage#Presseaussendung#Fronius#Inverter#GEN24 Plus#Tauro#press#production#PV system#press release#inverter#Taurus#Investment#presse#produktion#sattledt#solarenergy#pvanlage#presseaussendung#pressrelease#fronius#gen24plus#tauro#investment#</MRMKeyWords>
    <title_ti_zh xmlns="dc0c2c3d-e9fc-4a0d-820b-87ab82e65f20">Production at Full Speed 2022/12</title_ti_zh>
    <MRMID xmlns="dc0c2c3d-e9fc-4a0d-820b-87ab82e65f20">M-194573</MRMID>
    <Documenttype_UK xmlns="c4543867-fb67-4424-a255-4d54d75e50e3">Прес-релізи</Documenttype_UK>
    <title_TI_SK xmlns="dc0c2c3d-e9fc-4a0d-820b-87ab82e65f20">Production at Full Speed 2022/12</title_TI_SK>
    <Documenttype_UA xmlns="dc0c2c3d-e9fc-4a0d-820b-87ab82e65f20">Прес-релізи</Documenttype_UA>
    <title_TI_HU xmlns="dc0c2c3d-e9fc-4a0d-820b-87ab82e65f20">Production at Full Speed 2022/12</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Production at Full Speed 2022/12</title_TI_PT>
    <title_ti_fi xmlns="dc0c2c3d-e9fc-4a0d-820b-87ab82e65f20">Production at Full Speed 2022/12</title_ti_fi>
    <Country xmlns="dc0c2c3d-e9fc-4a0d-820b-87ab82e65f20">
      <Value>22</Value>
    </Country>
    <fro_spid xmlns="dc0c2c3d-e9fc-4a0d-820b-87ab82e65f20">9116;SE</fro_spid>
    <title_TI_RU xmlns="dc0c2c3d-e9fc-4a0d-820b-87ab82e65f20">Production at Full Speed 2022/12</title_TI_RU>
    <Documenttype_JA xmlns="dc0c2c3d-e9fc-4a0d-820b-87ab82e65f20">ニュースリリース</Documenttype_JA>
    <Colour_x0020_space xmlns="dc0c2c3d-e9fc-4a0d-820b-87ab82e65f20" xsi:nil="true"/>
    <title_TI_CS xmlns="dc0c2c3d-e9fc-4a0d-820b-87ab82e65f20">Production at Full Speed 2022/12</title_TI_CS>
    <title_TI_AR xmlns="dc0c2c3d-e9fc-4a0d-820b-87ab82e65f20">Production at Full Speed 2022/12</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CB245101-F38B-48F4-9C29-DDC6E35FD666}">
  <ds:schemaRefs>
    <ds:schemaRef ds:uri="http://schemas.openxmlformats.org/officeDocument/2006/bibliography"/>
  </ds:schemaRefs>
</ds:datastoreItem>
</file>

<file path=customXml/itemProps2.xml><?xml version="1.0" encoding="utf-8"?>
<ds:datastoreItem xmlns:ds="http://schemas.openxmlformats.org/officeDocument/2006/customXml" ds:itemID="{97F5AD6E-C305-40D0-94BF-65294AC1283D}"/>
</file>

<file path=customXml/itemProps3.xml><?xml version="1.0" encoding="utf-8"?>
<ds:datastoreItem xmlns:ds="http://schemas.openxmlformats.org/officeDocument/2006/customXml" ds:itemID="{FF321DDF-4234-4BBE-B5F8-E96208FD6505}"/>
</file>

<file path=customXml/itemProps4.xml><?xml version="1.0" encoding="utf-8"?>
<ds:datastoreItem xmlns:ds="http://schemas.openxmlformats.org/officeDocument/2006/customXml" ds:itemID="{5BB6F037-E28A-49A0-8E96-F6C70D8DCD2D}"/>
</file>

<file path=customXml/itemProps5.xml><?xml version="1.0" encoding="utf-8"?>
<ds:datastoreItem xmlns:ds="http://schemas.openxmlformats.org/officeDocument/2006/customXml" ds:itemID="{CC0B866F-1BEE-46E7-A0C4-8DE5141F2FD8}"/>
</file>

<file path=customXml/itemProps6.xml><?xml version="1.0" encoding="utf-8"?>
<ds:datastoreItem xmlns:ds="http://schemas.openxmlformats.org/officeDocument/2006/customXml" ds:itemID="{CD4E1EFC-DADE-415C-8229-CD25A476DE4B}"/>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963</Words>
  <Characters>6070</Characters>
  <Application>Microsoft Office Word</Application>
  <DocSecurity>0</DocSecurity>
  <Lines>50</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SE_PR_Production_at_Full_Speed_IT</dc:title>
  <dc:subject/>
  <dc:creator>Kneringer Daniel</dc:creator>
  <cp:keywords/>
  <dc:description/>
  <cp:lastModifiedBy>Reibenberger Maria</cp:lastModifiedBy>
  <cp:revision>8</cp:revision>
  <cp:lastPrinted>2022-12-01T09:07:00Z</cp:lastPrinted>
  <dcterms:created xsi:type="dcterms:W3CDTF">2022-12-05T10:48:00Z</dcterms:created>
  <dcterms:modified xsi:type="dcterms:W3CDTF">2022-12-20T17:37:00Z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262;##IT|ab4b68f7-1700-40a2-af1b-15691cfd4f91</vt:lpwstr>
  </property>
  <property fmtid="{D5CDD505-2E9C-101B-9397-08002B2CF9AE}" pid="11" name="FroConDoc_language">
    <vt:lpwstr>1;#DE|676160ea-61f7-4cef-8b4c-1724dec2206e</vt:lpwstr>
  </property>
</Properties>
</file>