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2F207D" w:rsidRDefault="00ED5549" w:rsidP="00604BFB">
      <w:pPr>
        <w:jc w:val="both"/>
        <w:rPr>
          <w:sz w:val="20"/>
          <w:szCs w:val="20"/>
          <w:lang w:val="en-US"/>
        </w:rPr>
      </w:pPr>
    </w:p>
    <w:p w14:paraId="687BC23B" w14:textId="77777777" w:rsidR="00ED5549" w:rsidRPr="002F207D" w:rsidRDefault="00ED5549" w:rsidP="00604BFB">
      <w:pPr>
        <w:jc w:val="both"/>
        <w:rPr>
          <w:sz w:val="20"/>
          <w:szCs w:val="20"/>
          <w:lang w:val="en-US"/>
        </w:rPr>
      </w:pPr>
    </w:p>
    <w:p w14:paraId="64EAFB9B" w14:textId="273A2B2D" w:rsidR="002D7A44" w:rsidRPr="002F207D" w:rsidRDefault="00ED5549" w:rsidP="00604BFB">
      <w:pPr>
        <w:pStyle w:val="berschrift1"/>
        <w:jc w:val="both"/>
      </w:pPr>
      <w:r>
        <w:t>Communiqué de presse</w:t>
      </w:r>
    </w:p>
    <w:p w14:paraId="07CB8F03" w14:textId="06F6FC04" w:rsidR="00ED5549" w:rsidRPr="002F207D" w:rsidRDefault="0051114E" w:rsidP="00604BFB">
      <w:pPr>
        <w:jc w:val="both"/>
      </w:pPr>
      <w:r>
        <w:rPr>
          <w:sz w:val="20"/>
        </w:rPr>
        <w:t>Solar Energy</w:t>
      </w:r>
    </w:p>
    <w:p w14:paraId="3EF5C6DD" w14:textId="6608F6CF" w:rsidR="00ED5549" w:rsidRPr="002F207D" w:rsidRDefault="00ED5549" w:rsidP="00604BFB">
      <w:pPr>
        <w:jc w:val="both"/>
        <w:rPr>
          <w:sz w:val="20"/>
          <w:szCs w:val="20"/>
        </w:rPr>
      </w:pPr>
    </w:p>
    <w:p w14:paraId="00F13E77" w14:textId="77777777" w:rsidR="00E83DD7" w:rsidRPr="002F207D" w:rsidRDefault="00E83DD7" w:rsidP="00604BFB">
      <w:pPr>
        <w:jc w:val="both"/>
        <w:rPr>
          <w:sz w:val="20"/>
          <w:szCs w:val="20"/>
        </w:rPr>
      </w:pPr>
    </w:p>
    <w:p w14:paraId="4F8F137E" w14:textId="2635D4E5" w:rsidR="006D6430" w:rsidRPr="002F207D" w:rsidRDefault="0030062E" w:rsidP="00604BFB">
      <w:pPr>
        <w:pStyle w:val="HeadlineGreen"/>
        <w:jc w:val="both"/>
        <w:rPr>
          <w:color w:val="auto"/>
          <w:sz w:val="22"/>
          <w:szCs w:val="20"/>
        </w:rPr>
      </w:pPr>
      <w:r>
        <w:rPr>
          <w:color w:val="auto"/>
          <w:sz w:val="22"/>
        </w:rPr>
        <w:t>Outlook 2023</w:t>
      </w:r>
    </w:p>
    <w:p w14:paraId="726FD8A5" w14:textId="40E66082" w:rsidR="002D7A44" w:rsidRPr="00604BFB" w:rsidRDefault="004A4FE4" w:rsidP="00604BFB">
      <w:pPr>
        <w:pStyle w:val="berschrift2"/>
        <w:jc w:val="both"/>
        <w:rPr>
          <w:color w:val="auto"/>
          <w:sz w:val="32"/>
          <w:szCs w:val="28"/>
        </w:rPr>
      </w:pPr>
      <w:r>
        <w:rPr>
          <w:color w:val="auto"/>
          <w:sz w:val="32"/>
        </w:rPr>
        <w:t>La production tourne à plein régime</w:t>
      </w:r>
    </w:p>
    <w:p w14:paraId="2CC4F935" w14:textId="77777777" w:rsidR="00ED5549" w:rsidRPr="002F207D" w:rsidRDefault="00ED5549" w:rsidP="00604BFB">
      <w:pPr>
        <w:jc w:val="both"/>
        <w:rPr>
          <w:sz w:val="20"/>
          <w:szCs w:val="20"/>
        </w:rPr>
      </w:pPr>
    </w:p>
    <w:p w14:paraId="47D72435" w14:textId="56238F70" w:rsidR="001668E3" w:rsidRPr="00604BFB" w:rsidRDefault="00ED5549" w:rsidP="00604BFB">
      <w:pPr>
        <w:jc w:val="both"/>
        <w:rPr>
          <w:sz w:val="24"/>
          <w:szCs w:val="24"/>
        </w:rPr>
      </w:pPr>
      <w:r>
        <w:rPr>
          <w:i/>
          <w:sz w:val="24"/>
        </w:rPr>
        <w:t>(Wels, le 21 décembre 2022)</w:t>
      </w:r>
      <w:r>
        <w:rPr>
          <w:sz w:val="24"/>
        </w:rPr>
        <w:t xml:space="preserve"> En 2022, Fronius a investi 187 millions d’euros dans le </w:t>
      </w:r>
      <w:r w:rsidRPr="00EE596E">
        <w:rPr>
          <w:sz w:val="24"/>
        </w:rPr>
        <w:t>développement et la rénovation du site de production de Sattledt (Autriche) et du centre de compétence sur les composants inductifs à Krumau (République tchèque). Dans l’année à venir, ces investissements atteindront plus de 2</w:t>
      </w:r>
      <w:r w:rsidR="00EE596E" w:rsidRPr="00EE596E">
        <w:rPr>
          <w:sz w:val="24"/>
        </w:rPr>
        <w:t>3</w:t>
      </w:r>
      <w:r w:rsidRPr="00EE596E">
        <w:rPr>
          <w:sz w:val="24"/>
        </w:rPr>
        <w:t>0 millions d’euros, permettant ainsi de créer des lignes de production et des emplois supplémentaires tout en garantissant une fabrication continue.</w:t>
      </w:r>
      <w:r>
        <w:rPr>
          <w:sz w:val="24"/>
        </w:rPr>
        <w:t xml:space="preserve"> </w:t>
      </w:r>
    </w:p>
    <w:p w14:paraId="03A8A6A0" w14:textId="526BD532" w:rsidR="006B3354" w:rsidRDefault="006B3354" w:rsidP="006B3354">
      <w:pPr>
        <w:jc w:val="both"/>
        <w:rPr>
          <w:rFonts w:eastAsiaTheme="majorEastAsia" w:cstheme="majorBidi"/>
          <w:iCs/>
          <w:color w:val="000000" w:themeColor="text1"/>
          <w:sz w:val="20"/>
          <w:szCs w:val="20"/>
          <w:u w:val="single"/>
        </w:rPr>
      </w:pPr>
    </w:p>
    <w:p w14:paraId="57A14B14" w14:textId="7D9F78C2" w:rsidR="00612FD3" w:rsidRDefault="004472BA" w:rsidP="00EA52A7">
      <w:pPr>
        <w:spacing w:before="40" w:after="40"/>
        <w:ind w:left="45"/>
        <w:jc w:val="both"/>
        <w:rPr>
          <w:sz w:val="20"/>
          <w:szCs w:val="20"/>
        </w:rPr>
      </w:pPr>
      <w:r>
        <w:rPr>
          <w:sz w:val="20"/>
        </w:rPr>
        <w:t xml:space="preserve">Fronius investit considérablement dans le développement de la production. </w:t>
      </w:r>
      <w:r>
        <w:rPr>
          <w:i/>
          <w:sz w:val="20"/>
        </w:rPr>
        <w:t>« Nous avons augmenté la surface utile de 41 000 m² à 69 000 m². Notre production tourne constamment à plein régime, afin de couvrir au mieux la demande toujours plus importante »</w:t>
      </w:r>
      <w:r>
        <w:rPr>
          <w:sz w:val="20"/>
        </w:rPr>
        <w:t>, explique Martin Hackl, Global Director Marketing and Sales, Business Unit Solar Energy, Fronius International GmbH. Seule une valeur ajoutée élevée en Europe, la priorité absolue pour Fronius, permettra de satisfaire aux normes de qualité et de sécurité</w:t>
      </w:r>
      <w:r>
        <w:rPr>
          <w:i/>
          <w:sz w:val="20"/>
        </w:rPr>
        <w:t>.</w:t>
      </w:r>
      <w:r>
        <w:rPr>
          <w:sz w:val="20"/>
        </w:rPr>
        <w:t xml:space="preserve"> </w:t>
      </w:r>
      <w:r>
        <w:rPr>
          <w:i/>
          <w:sz w:val="20"/>
        </w:rPr>
        <w:t>« 95 % de nos partenaires contractuels sont européens »</w:t>
      </w:r>
      <w:r>
        <w:rPr>
          <w:sz w:val="20"/>
        </w:rPr>
        <w:t xml:space="preserve">, ajoute Martin Hackl. </w:t>
      </w:r>
    </w:p>
    <w:p w14:paraId="23337CA7" w14:textId="0941D416" w:rsidR="00612FD3" w:rsidRDefault="00612FD3" w:rsidP="00C02BD4">
      <w:pPr>
        <w:spacing w:before="40" w:after="40"/>
        <w:jc w:val="both"/>
        <w:rPr>
          <w:sz w:val="20"/>
          <w:szCs w:val="20"/>
        </w:rPr>
      </w:pPr>
    </w:p>
    <w:p w14:paraId="3D71F30F" w14:textId="715E5E2B" w:rsidR="00612FD3" w:rsidRPr="0053537F" w:rsidRDefault="005737EF" w:rsidP="0053537F">
      <w:pPr>
        <w:pStyle w:val="berschrift4"/>
        <w:jc w:val="both"/>
        <w:rPr>
          <w:iCs w:val="0"/>
          <w:color w:val="D73237"/>
          <w:szCs w:val="24"/>
          <w:u w:val="none"/>
        </w:rPr>
      </w:pPr>
      <w:r w:rsidRPr="0053537F">
        <w:rPr>
          <w:iCs w:val="0"/>
          <w:color w:val="D73237"/>
          <w:szCs w:val="24"/>
          <w:u w:val="none"/>
        </w:rPr>
        <w:t>De nouvelles lignes de production</w:t>
      </w:r>
    </w:p>
    <w:p w14:paraId="140A267A" w14:textId="26B8652E" w:rsidR="00C02BD4" w:rsidRDefault="004349E3" w:rsidP="00C02BD4">
      <w:pPr>
        <w:spacing w:before="40" w:after="40"/>
        <w:jc w:val="both"/>
        <w:rPr>
          <w:rFonts w:ascii="Calibri" w:hAnsi="Calibri"/>
          <w:sz w:val="20"/>
          <w:szCs w:val="20"/>
        </w:rPr>
      </w:pPr>
      <w:r>
        <w:rPr>
          <w:sz w:val="20"/>
        </w:rPr>
        <w:t xml:space="preserve">L’extension « vers le Nord » de l’usine de production Fronius, dans la ville autrichienne de Sattledt, est déjà entamée. Depuis la mi-août, le Fronius Tauro y est fabriqué. La production existante sera transformée et une ligne supplémentaire de production Fronius GEN24 Plus y sera ajoutée cette année, suivies de deux autres en 2023. </w:t>
      </w:r>
      <w:r>
        <w:rPr>
          <w:i/>
          <w:sz w:val="20"/>
        </w:rPr>
        <w:t>« Les lignes de production supplémentaires nous permettent de répondre à la forte demande »</w:t>
      </w:r>
      <w:r>
        <w:rPr>
          <w:sz w:val="20"/>
        </w:rPr>
        <w:t xml:space="preserve">, déclare Martin Hackl. </w:t>
      </w:r>
    </w:p>
    <w:p w14:paraId="7979209C" w14:textId="66DEFE2D" w:rsidR="004349E3" w:rsidRPr="005320F3" w:rsidRDefault="004349E3" w:rsidP="002846EC">
      <w:pPr>
        <w:spacing w:before="40" w:after="40"/>
        <w:jc w:val="both"/>
        <w:rPr>
          <w:sz w:val="20"/>
          <w:szCs w:val="20"/>
        </w:rPr>
      </w:pPr>
    </w:p>
    <w:p w14:paraId="018A4EAF" w14:textId="55A6A4EA" w:rsidR="00785D72" w:rsidRPr="0053537F" w:rsidRDefault="00B63556" w:rsidP="0053537F">
      <w:pPr>
        <w:pStyle w:val="berschrift4"/>
        <w:jc w:val="both"/>
        <w:rPr>
          <w:iCs w:val="0"/>
          <w:color w:val="D73237"/>
          <w:szCs w:val="24"/>
          <w:u w:val="none"/>
        </w:rPr>
      </w:pPr>
      <w:r w:rsidRPr="0053537F">
        <w:rPr>
          <w:iCs w:val="0"/>
          <w:color w:val="D73237"/>
          <w:szCs w:val="24"/>
          <w:u w:val="none"/>
        </w:rPr>
        <w:t>Rendement élevé et essor du photovoltaïque</w:t>
      </w:r>
    </w:p>
    <w:p w14:paraId="5A6E11E1" w14:textId="28BC41A0" w:rsidR="002846EC" w:rsidRPr="00AC61D0" w:rsidRDefault="00B107A9" w:rsidP="00AC61D0">
      <w:pPr>
        <w:spacing w:before="40" w:after="40"/>
        <w:jc w:val="both"/>
        <w:rPr>
          <w:sz w:val="20"/>
          <w:szCs w:val="20"/>
        </w:rPr>
      </w:pPr>
      <w:r>
        <w:rPr>
          <w:i/>
          <w:color w:val="000000" w:themeColor="text1"/>
          <w:sz w:val="20"/>
        </w:rPr>
        <w:t>« Le rendement de Fronius n’a jamais été aussi élevé »</w:t>
      </w:r>
      <w:r>
        <w:rPr>
          <w:color w:val="000000" w:themeColor="text1"/>
          <w:sz w:val="20"/>
        </w:rPr>
        <w:t xml:space="preserve">, affirme Martin Hackl. Au total, près de 32 000 onduleurs ont été produits par mois en 2022. Jusqu’à la fin de l’année 2023, ce sont près de 52 000 onduleurs qui seront produits chaque mois, soit une augmentation de plus de 65 %. Face à cette augmentation, on assiste à un véritable essor du photovoltaïque. </w:t>
      </w:r>
      <w:r>
        <w:rPr>
          <w:i/>
          <w:color w:val="000000" w:themeColor="text1"/>
          <w:sz w:val="20"/>
        </w:rPr>
        <w:t>« Le photovoltaïque est en plein essor, ce qui entraîne une explosion de la demande »</w:t>
      </w:r>
      <w:r>
        <w:rPr>
          <w:color w:val="000000" w:themeColor="text1"/>
          <w:sz w:val="20"/>
        </w:rPr>
        <w:t>, explique Martin Hackl.</w:t>
      </w:r>
      <w:r>
        <w:rPr>
          <w:sz w:val="20"/>
        </w:rPr>
        <w:t xml:space="preserve"> De plus, la pandémie a confronté les entreprises du monde entier à de nouveaux défis. Même l’entreprise Fronius n’a pas été épargnée. </w:t>
      </w:r>
      <w:r>
        <w:rPr>
          <w:i/>
          <w:sz w:val="20"/>
        </w:rPr>
        <w:t xml:space="preserve">« Malgré des conditions-cadres difficiles telles que des chaînes de </w:t>
      </w:r>
      <w:r>
        <w:rPr>
          <w:i/>
          <w:sz w:val="20"/>
        </w:rPr>
        <w:lastRenderedPageBreak/>
        <w:t xml:space="preserve">livraison instables, une pénurie de pièces et d’effectifs, </w:t>
      </w:r>
      <w:r>
        <w:rPr>
          <w:i/>
          <w:color w:val="000000"/>
          <w:sz w:val="20"/>
          <w:shd w:val="clear" w:color="auto" w:fill="FFFFFF"/>
        </w:rPr>
        <w:t>nous avons pu assurer le ravitaillement et ainsi stabiliser la fabrication »</w:t>
      </w:r>
      <w:r>
        <w:rPr>
          <w:color w:val="000000"/>
          <w:sz w:val="20"/>
          <w:shd w:val="clear" w:color="auto" w:fill="FFFFFF"/>
        </w:rPr>
        <w:t xml:space="preserve">, rapporte Martin Hackl. </w:t>
      </w:r>
    </w:p>
    <w:p w14:paraId="5FC50A77" w14:textId="18A15655" w:rsidR="00FC5BFA" w:rsidRPr="005320F3" w:rsidRDefault="00FC5BFA" w:rsidP="0044171E">
      <w:pPr>
        <w:spacing w:before="40" w:after="40"/>
        <w:jc w:val="both"/>
        <w:rPr>
          <w:sz w:val="20"/>
          <w:szCs w:val="20"/>
        </w:rPr>
      </w:pPr>
    </w:p>
    <w:p w14:paraId="0079B94C" w14:textId="61DDC166" w:rsidR="00785D72" w:rsidRPr="0053537F" w:rsidRDefault="000656D1" w:rsidP="0053537F">
      <w:pPr>
        <w:pStyle w:val="berschrift4"/>
        <w:jc w:val="both"/>
        <w:rPr>
          <w:iCs w:val="0"/>
          <w:color w:val="D73237"/>
          <w:szCs w:val="24"/>
          <w:u w:val="none"/>
        </w:rPr>
      </w:pPr>
      <w:r w:rsidRPr="0053537F">
        <w:rPr>
          <w:iCs w:val="0"/>
          <w:color w:val="D73237"/>
          <w:szCs w:val="24"/>
          <w:u w:val="none"/>
        </w:rPr>
        <w:t>Investir de manière durable sur tous les sites</w:t>
      </w:r>
    </w:p>
    <w:p w14:paraId="4FCD6869" w14:textId="77777777" w:rsidR="00A97A1B" w:rsidRDefault="007252E6" w:rsidP="0044171E">
      <w:pPr>
        <w:spacing w:before="40" w:after="40"/>
        <w:jc w:val="both"/>
        <w:rPr>
          <w:sz w:val="20"/>
          <w:szCs w:val="20"/>
        </w:rPr>
      </w:pPr>
      <w:r>
        <w:rPr>
          <w:sz w:val="20"/>
        </w:rPr>
        <w:t xml:space="preserve">L’investissement dans des technologies plus économes en énergie et un emploi consciencieux des ressources sont deux valeurs profondément ancrées dans l’entreprise Fronius. Deux accumulateurs de glace permettent de chauffer le site de production de Sattledt en hiver et de le refroidir en été. Il s’agit actuellement de la plus grande installation de ce type en Europe. Ce site présente un autre avantage : l’entrepôt à hauts rayonnages entièrement automatisé qui permet de stocker 7 000 palettes et 12 500 conteneurs pour petites pièces. </w:t>
      </w:r>
    </w:p>
    <w:p w14:paraId="16F2930B" w14:textId="77777777" w:rsidR="00A97A1B" w:rsidRPr="005320F3" w:rsidRDefault="00A97A1B" w:rsidP="0044171E">
      <w:pPr>
        <w:spacing w:before="40" w:after="40"/>
        <w:jc w:val="both"/>
        <w:rPr>
          <w:sz w:val="20"/>
          <w:szCs w:val="20"/>
        </w:rPr>
      </w:pPr>
    </w:p>
    <w:p w14:paraId="42B3896E" w14:textId="23FADE5D" w:rsidR="006D1F17" w:rsidRDefault="006D1F17" w:rsidP="0044171E">
      <w:pPr>
        <w:spacing w:before="40" w:after="40"/>
        <w:jc w:val="both"/>
        <w:rPr>
          <w:sz w:val="20"/>
          <w:szCs w:val="20"/>
        </w:rPr>
      </w:pPr>
      <w:r>
        <w:rPr>
          <w:sz w:val="20"/>
        </w:rPr>
        <w:t xml:space="preserve">Sur le site de Krumau, en République tchèque, la prochaine extension est déjà planifiée, alors même que la dernière construction vient seulement d’être terminée. Au cours des cinq prochaines années, le nombre d’emplois y sera doublé et les zones de production y seront considérablement agrandies. </w:t>
      </w:r>
    </w:p>
    <w:p w14:paraId="70B565D7" w14:textId="327FD073" w:rsidR="006D1F17" w:rsidRPr="005320F3" w:rsidRDefault="006D1F17" w:rsidP="0044171E">
      <w:pPr>
        <w:spacing w:before="40" w:after="40"/>
        <w:jc w:val="both"/>
        <w:rPr>
          <w:sz w:val="20"/>
          <w:szCs w:val="20"/>
        </w:rPr>
      </w:pPr>
    </w:p>
    <w:p w14:paraId="7330AB9B" w14:textId="3E278872" w:rsidR="00785D72" w:rsidRDefault="00BF2F5E" w:rsidP="0044171E">
      <w:pPr>
        <w:spacing w:before="40" w:after="40"/>
        <w:jc w:val="both"/>
        <w:rPr>
          <w:i/>
          <w:iCs/>
          <w:sz w:val="20"/>
          <w:szCs w:val="20"/>
        </w:rPr>
      </w:pPr>
      <w:r>
        <w:rPr>
          <w:sz w:val="20"/>
        </w:rPr>
        <w:t xml:space="preserve">En 2023, la majorité des 25 filiales de Fronius Solar Energy investiront pour l’avenir. Ainsi, une nouvelle installation photovoltaïque et des stations de charge pour véhicules électriques seront mises en service chez Fronius Italien. Quant à nos collègues de Fronius Schweiz, ils vont mettre 12 véhicules électriques à disposition </w:t>
      </w:r>
      <w:r w:rsidRPr="00362C6E">
        <w:rPr>
          <w:sz w:val="20"/>
        </w:rPr>
        <w:t xml:space="preserve">des commerciaux terrain à partir de 2023. Fronius investit également dans son personnel. Dans les deux années à venir, Martin Hackl prévoit une forte croissance : </w:t>
      </w:r>
      <w:r w:rsidRPr="00362C6E">
        <w:rPr>
          <w:i/>
          <w:sz w:val="20"/>
        </w:rPr>
        <w:t>« Nous embaucherons quelque 1 </w:t>
      </w:r>
      <w:r w:rsidR="00C670DE">
        <w:rPr>
          <w:i/>
          <w:sz w:val="20"/>
        </w:rPr>
        <w:t>3</w:t>
      </w:r>
      <w:r w:rsidRPr="00362C6E">
        <w:rPr>
          <w:i/>
          <w:sz w:val="20"/>
        </w:rPr>
        <w:t>00 employés</w:t>
      </w:r>
      <w:r>
        <w:rPr>
          <w:i/>
          <w:sz w:val="20"/>
        </w:rPr>
        <w:t xml:space="preserve"> à l’international d’ici la fin de l’année 2023. »</w:t>
      </w:r>
    </w:p>
    <w:p w14:paraId="5A0E98C5" w14:textId="7D07ACAF" w:rsidR="00DD51EC" w:rsidRPr="005320F3" w:rsidRDefault="00DD51EC" w:rsidP="0044171E">
      <w:pPr>
        <w:spacing w:before="40" w:after="40"/>
        <w:jc w:val="both"/>
        <w:rPr>
          <w:i/>
          <w:iCs/>
          <w:sz w:val="20"/>
          <w:szCs w:val="20"/>
        </w:rPr>
      </w:pPr>
    </w:p>
    <w:p w14:paraId="39701604" w14:textId="14D69173" w:rsidR="0044171E" w:rsidRPr="00E53199" w:rsidRDefault="0044171E" w:rsidP="0044171E">
      <w:pPr>
        <w:spacing w:before="40" w:after="40"/>
        <w:jc w:val="both"/>
        <w:rPr>
          <w:sz w:val="20"/>
          <w:szCs w:val="20"/>
        </w:rPr>
      </w:pPr>
      <w:r>
        <w:rPr>
          <w:sz w:val="20"/>
        </w:rPr>
        <w:t xml:space="preserve">Mots : </w:t>
      </w:r>
      <w:r w:rsidR="0053537F">
        <w:rPr>
          <w:sz w:val="20"/>
        </w:rPr>
        <w:t>606</w:t>
      </w:r>
    </w:p>
    <w:p w14:paraId="1C097BA3" w14:textId="32A38D26" w:rsidR="0044171E" w:rsidRPr="00E53199" w:rsidRDefault="0044171E" w:rsidP="0044171E">
      <w:pPr>
        <w:spacing w:before="40" w:after="40"/>
        <w:jc w:val="both"/>
        <w:rPr>
          <w:sz w:val="20"/>
          <w:szCs w:val="20"/>
        </w:rPr>
      </w:pPr>
      <w:r>
        <w:rPr>
          <w:sz w:val="20"/>
        </w:rPr>
        <w:t>Caractères (espaces compris) :</w:t>
      </w:r>
      <w:r w:rsidR="0053537F">
        <w:rPr>
          <w:sz w:val="20"/>
        </w:rPr>
        <w:t xml:space="preserve"> 3 848</w:t>
      </w:r>
    </w:p>
    <w:p w14:paraId="602C9BB0" w14:textId="77777777" w:rsidR="001F4980" w:rsidRDefault="001F4980" w:rsidP="00604BFB">
      <w:pPr>
        <w:pStyle w:val="berschrift4"/>
        <w:jc w:val="both"/>
        <w:rPr>
          <w:sz w:val="20"/>
          <w:szCs w:val="20"/>
        </w:rPr>
      </w:pPr>
    </w:p>
    <w:p w14:paraId="754368C8" w14:textId="1D918805" w:rsidR="00B8257D" w:rsidRDefault="00B8257D" w:rsidP="0081465F">
      <w:pPr>
        <w:pStyle w:val="berschrift4"/>
        <w:jc w:val="both"/>
        <w:rPr>
          <w:sz w:val="20"/>
          <w:szCs w:val="20"/>
        </w:rPr>
      </w:pPr>
      <w:r>
        <w:rPr>
          <w:sz w:val="20"/>
        </w:rPr>
        <w:t>Photos – Aperçu</w:t>
      </w:r>
    </w:p>
    <w:p w14:paraId="731BE15C" w14:textId="77777777" w:rsidR="004A4FE4" w:rsidRPr="004A4FE4" w:rsidRDefault="004A4FE4" w:rsidP="004A4FE4"/>
    <w:p w14:paraId="58DE6613" w14:textId="77777777" w:rsidR="00BE64CC" w:rsidRDefault="00BE64CC" w:rsidP="00604BFB">
      <w:pPr>
        <w:jc w:val="both"/>
        <w:rPr>
          <w:sz w:val="18"/>
          <w:szCs w:val="18"/>
        </w:rPr>
      </w:pPr>
      <w:r>
        <w:rPr>
          <w:noProof/>
          <w:sz w:val="18"/>
        </w:rPr>
        <w:drawing>
          <wp:anchor distT="0" distB="0" distL="114300" distR="114300" simplePos="0" relativeHeight="251666432" behindDoc="1" locked="0" layoutInCell="1" allowOverlap="1" wp14:anchorId="23E9875A" wp14:editId="788A786E">
            <wp:simplePos x="0" y="0"/>
            <wp:positionH relativeFrom="column">
              <wp:posOffset>-4445</wp:posOffset>
            </wp:positionH>
            <wp:positionV relativeFrom="paragraph">
              <wp:posOffset>-3175</wp:posOffset>
            </wp:positionV>
            <wp:extent cx="2156343" cy="1438275"/>
            <wp:effectExtent l="0" t="0" r="0" b="0"/>
            <wp:wrapTight wrapText="bothSides">
              <wp:wrapPolygon edited="0">
                <wp:start x="0" y="0"/>
                <wp:lineTo x="0" y="21171"/>
                <wp:lineTo x="21377" y="21171"/>
                <wp:lineTo x="21377"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56343" cy="1438275"/>
                    </a:xfrm>
                    <a:prstGeom prst="rect">
                      <a:avLst/>
                    </a:prstGeom>
                  </pic:spPr>
                </pic:pic>
              </a:graphicData>
            </a:graphic>
          </wp:anchor>
        </w:drawing>
      </w:r>
    </w:p>
    <w:p w14:paraId="58938F68" w14:textId="77777777" w:rsidR="00BE64CC" w:rsidRDefault="00BE64CC" w:rsidP="00604BFB">
      <w:pPr>
        <w:jc w:val="both"/>
        <w:rPr>
          <w:sz w:val="18"/>
          <w:szCs w:val="18"/>
        </w:rPr>
      </w:pPr>
    </w:p>
    <w:p w14:paraId="5C3B8A18" w14:textId="77777777" w:rsidR="00BE64CC" w:rsidRDefault="00BE64CC" w:rsidP="00604BFB">
      <w:pPr>
        <w:jc w:val="both"/>
        <w:rPr>
          <w:sz w:val="18"/>
          <w:szCs w:val="18"/>
        </w:rPr>
      </w:pPr>
    </w:p>
    <w:p w14:paraId="382D122A" w14:textId="77777777" w:rsidR="00BE64CC" w:rsidRDefault="00BE64CC" w:rsidP="00604BFB">
      <w:pPr>
        <w:jc w:val="both"/>
        <w:rPr>
          <w:sz w:val="18"/>
          <w:szCs w:val="18"/>
        </w:rPr>
      </w:pPr>
    </w:p>
    <w:p w14:paraId="56653138" w14:textId="77777777" w:rsidR="0053537F" w:rsidRDefault="0053537F" w:rsidP="00604BFB">
      <w:pPr>
        <w:jc w:val="both"/>
        <w:rPr>
          <w:sz w:val="16"/>
        </w:rPr>
      </w:pPr>
    </w:p>
    <w:p w14:paraId="363A923C" w14:textId="77777777" w:rsidR="0053537F" w:rsidRDefault="0053537F" w:rsidP="00604BFB">
      <w:pPr>
        <w:jc w:val="both"/>
        <w:rPr>
          <w:sz w:val="16"/>
        </w:rPr>
      </w:pPr>
    </w:p>
    <w:p w14:paraId="33A02288" w14:textId="031E233D" w:rsidR="00B8257D" w:rsidRDefault="00BE64CC" w:rsidP="00604BFB">
      <w:pPr>
        <w:jc w:val="both"/>
        <w:rPr>
          <w:sz w:val="16"/>
          <w:szCs w:val="16"/>
        </w:rPr>
      </w:pPr>
      <w:r>
        <w:rPr>
          <w:sz w:val="16"/>
        </w:rPr>
        <w:t>Martin Hackl, Global Director Marketing and Sales, Business Unit Solar Energy, Fronius International GmbH.</w:t>
      </w:r>
    </w:p>
    <w:p w14:paraId="3323F437" w14:textId="77777777" w:rsidR="00061FB8" w:rsidRPr="004A4FE4" w:rsidRDefault="00061FB8" w:rsidP="00604BFB">
      <w:pPr>
        <w:jc w:val="both"/>
        <w:rPr>
          <w:sz w:val="14"/>
          <w:szCs w:val="14"/>
          <w:lang w:val="en-US"/>
        </w:rPr>
      </w:pPr>
    </w:p>
    <w:p w14:paraId="086E2B7D" w14:textId="5A8ECA23" w:rsidR="00604BFB" w:rsidRPr="005F0FE1" w:rsidRDefault="002A2778" w:rsidP="00604BFB">
      <w:pPr>
        <w:jc w:val="both"/>
        <w:rPr>
          <w:sz w:val="18"/>
          <w:szCs w:val="18"/>
        </w:rPr>
      </w:pPr>
      <w:r>
        <w:rPr>
          <w:noProof/>
        </w:rPr>
        <w:lastRenderedPageBreak/>
        <w:drawing>
          <wp:anchor distT="0" distB="0" distL="114300" distR="114300" simplePos="0" relativeHeight="251667456" behindDoc="1" locked="0" layoutInCell="1" allowOverlap="1" wp14:anchorId="32ED7FBA" wp14:editId="074AB4C1">
            <wp:simplePos x="0" y="0"/>
            <wp:positionH relativeFrom="column">
              <wp:posOffset>-4445</wp:posOffset>
            </wp:positionH>
            <wp:positionV relativeFrom="paragraph">
              <wp:posOffset>-3175</wp:posOffset>
            </wp:positionV>
            <wp:extent cx="2181225" cy="1624880"/>
            <wp:effectExtent l="0" t="0" r="0" b="0"/>
            <wp:wrapTight wrapText="bothSides">
              <wp:wrapPolygon edited="0">
                <wp:start x="0" y="0"/>
                <wp:lineTo x="0" y="21279"/>
                <wp:lineTo x="21317" y="21279"/>
                <wp:lineTo x="21317"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2181225" cy="1624880"/>
                    </a:xfrm>
                    <a:prstGeom prst="rect">
                      <a:avLst/>
                    </a:prstGeom>
                  </pic:spPr>
                </pic:pic>
              </a:graphicData>
            </a:graphic>
          </wp:anchor>
        </w:drawing>
      </w:r>
    </w:p>
    <w:p w14:paraId="55E129F8" w14:textId="481561CB" w:rsidR="00604BFB" w:rsidRPr="005F0FE1" w:rsidRDefault="00604BFB" w:rsidP="00604BFB">
      <w:pPr>
        <w:jc w:val="both"/>
        <w:rPr>
          <w:sz w:val="18"/>
          <w:szCs w:val="18"/>
          <w:lang w:val="en-US"/>
        </w:rPr>
      </w:pPr>
    </w:p>
    <w:p w14:paraId="77557F6F" w14:textId="2606CB99" w:rsidR="002A2778" w:rsidRPr="005F0FE1" w:rsidRDefault="002A2778" w:rsidP="00604BFB">
      <w:pPr>
        <w:jc w:val="both"/>
        <w:rPr>
          <w:sz w:val="18"/>
          <w:szCs w:val="18"/>
          <w:lang w:val="en-US"/>
        </w:rPr>
      </w:pPr>
    </w:p>
    <w:p w14:paraId="6DBD733D" w14:textId="17FAD004" w:rsidR="002A2778" w:rsidRPr="005F0FE1" w:rsidRDefault="002A2778" w:rsidP="00604BFB">
      <w:pPr>
        <w:jc w:val="both"/>
        <w:rPr>
          <w:sz w:val="18"/>
          <w:szCs w:val="18"/>
          <w:lang w:val="en-US"/>
        </w:rPr>
      </w:pPr>
    </w:p>
    <w:p w14:paraId="125452B0" w14:textId="77777777" w:rsidR="004A4FE4" w:rsidRPr="0006318F" w:rsidRDefault="004A4FE4" w:rsidP="00604BFB">
      <w:pPr>
        <w:jc w:val="both"/>
        <w:rPr>
          <w:sz w:val="16"/>
          <w:szCs w:val="16"/>
          <w:lang w:val="en-US"/>
        </w:rPr>
      </w:pPr>
    </w:p>
    <w:p w14:paraId="6CEDD39B" w14:textId="77777777" w:rsidR="0053537F" w:rsidRDefault="0053537F" w:rsidP="00604BFB">
      <w:pPr>
        <w:jc w:val="both"/>
        <w:rPr>
          <w:sz w:val="16"/>
        </w:rPr>
      </w:pPr>
    </w:p>
    <w:p w14:paraId="5FFFC2A1" w14:textId="77777777" w:rsidR="0053537F" w:rsidRDefault="0053537F" w:rsidP="00604BFB">
      <w:pPr>
        <w:jc w:val="both"/>
        <w:rPr>
          <w:sz w:val="16"/>
        </w:rPr>
      </w:pPr>
    </w:p>
    <w:p w14:paraId="0BCDBA10" w14:textId="4016A584" w:rsidR="0081465F" w:rsidRDefault="004A6456" w:rsidP="00604BFB">
      <w:pPr>
        <w:jc w:val="both"/>
        <w:rPr>
          <w:sz w:val="16"/>
        </w:rPr>
      </w:pPr>
      <w:r>
        <w:rPr>
          <w:sz w:val="16"/>
        </w:rPr>
        <w:t>L’extension « vers le Nord » de l’usine de production Fronius, dans la ville autrichienne de Sattledt, est déjà entamée.</w:t>
      </w:r>
    </w:p>
    <w:p w14:paraId="3FD88A07" w14:textId="77777777" w:rsidR="0053537F" w:rsidRPr="004A4FE4" w:rsidRDefault="0053537F" w:rsidP="00604BFB">
      <w:pPr>
        <w:jc w:val="both"/>
        <w:rPr>
          <w:sz w:val="16"/>
          <w:szCs w:val="16"/>
        </w:rPr>
      </w:pPr>
    </w:p>
    <w:p w14:paraId="653D45B8" w14:textId="77777777" w:rsidR="0053537F" w:rsidRDefault="00D44135" w:rsidP="002F207D">
      <w:pPr>
        <w:jc w:val="both"/>
        <w:rPr>
          <w:sz w:val="18"/>
        </w:rPr>
      </w:pPr>
      <w:r>
        <w:rPr>
          <w:noProof/>
          <w:sz w:val="18"/>
        </w:rPr>
        <w:drawing>
          <wp:inline distT="0" distB="0" distL="0" distR="0" wp14:anchorId="3C844009" wp14:editId="3E6B21CB">
            <wp:extent cx="1518408" cy="2276475"/>
            <wp:effectExtent l="0" t="0" r="5715"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25535" cy="2287160"/>
                    </a:xfrm>
                    <a:prstGeom prst="rect">
                      <a:avLst/>
                    </a:prstGeom>
                  </pic:spPr>
                </pic:pic>
              </a:graphicData>
            </a:graphic>
          </wp:inline>
        </w:drawing>
      </w:r>
      <w:r>
        <w:rPr>
          <w:sz w:val="18"/>
        </w:rPr>
        <w:t xml:space="preserve"> </w:t>
      </w:r>
    </w:p>
    <w:p w14:paraId="6A2D5607" w14:textId="7D0FF332" w:rsidR="002F207D" w:rsidRDefault="00D44135" w:rsidP="002F207D">
      <w:pPr>
        <w:jc w:val="both"/>
        <w:rPr>
          <w:sz w:val="16"/>
        </w:rPr>
      </w:pPr>
      <w:r>
        <w:rPr>
          <w:sz w:val="16"/>
        </w:rPr>
        <w:t>Le rendement de Fronius n’a jamais été aussi élevé.</w:t>
      </w:r>
    </w:p>
    <w:p w14:paraId="67F1BE19" w14:textId="77777777" w:rsidR="0053537F" w:rsidRPr="002F207D" w:rsidRDefault="0053537F" w:rsidP="002F207D">
      <w:pPr>
        <w:jc w:val="both"/>
        <w:rPr>
          <w:sz w:val="18"/>
          <w:szCs w:val="18"/>
        </w:rPr>
      </w:pPr>
    </w:p>
    <w:p w14:paraId="3B1E27D6" w14:textId="77777777" w:rsidR="0053537F" w:rsidRPr="00943997" w:rsidRDefault="0053537F" w:rsidP="0053537F">
      <w:pPr>
        <w:jc w:val="both"/>
        <w:rPr>
          <w:i/>
          <w:iCs/>
          <w:sz w:val="18"/>
          <w:szCs w:val="18"/>
        </w:rPr>
      </w:pPr>
      <w:r w:rsidRPr="00943997">
        <w:rPr>
          <w:i/>
          <w:sz w:val="18"/>
        </w:rPr>
        <w:t>Crédit photo : Fronius International GmbH, publication libre de droits</w:t>
      </w:r>
    </w:p>
    <w:p w14:paraId="39055B6F" w14:textId="77777777" w:rsidR="004A4FE4" w:rsidRPr="005320F3" w:rsidRDefault="004A4FE4">
      <w:pPr>
        <w:rPr>
          <w:rFonts w:eastAsiaTheme="majorEastAsia" w:cstheme="majorBidi"/>
          <w:iCs/>
          <w:color w:val="000000" w:themeColor="text1"/>
          <w:sz w:val="20"/>
          <w:szCs w:val="20"/>
        </w:rPr>
      </w:pPr>
    </w:p>
    <w:p w14:paraId="63E89748" w14:textId="77777777" w:rsidR="0053537F" w:rsidRPr="00943997" w:rsidRDefault="0053537F" w:rsidP="0053537F">
      <w:pPr>
        <w:pStyle w:val="berschrift4"/>
        <w:jc w:val="both"/>
        <w:rPr>
          <w:sz w:val="20"/>
          <w:szCs w:val="20"/>
        </w:rPr>
      </w:pPr>
      <w:r w:rsidRPr="00943997">
        <w:rPr>
          <w:sz w:val="20"/>
        </w:rPr>
        <w:t>Business Unit Solar Energy</w:t>
      </w:r>
    </w:p>
    <w:p w14:paraId="6D00A009" w14:textId="77777777" w:rsidR="0053537F" w:rsidRPr="00943997" w:rsidRDefault="0053537F" w:rsidP="0053537F">
      <w:pPr>
        <w:jc w:val="both"/>
        <w:rPr>
          <w:sz w:val="20"/>
          <w:szCs w:val="20"/>
        </w:rPr>
      </w:pPr>
      <w:r w:rsidRPr="00943997">
        <w:rPr>
          <w:sz w:val="20"/>
        </w:rPr>
        <w:t>Fondée en 1992, la Business Unit Solar Energy fête cette année ses 30 ans d’existence. En nous appuyant sur le slogan « Energize your life », nous développons des solutions innovantes qui permettent de produire, stocker, distribuer et consommer l’énergie solaire de façon rentable et intelligente. Pionnier d’un avenir digne, dans lequel les énergies renouvelables couvriraient la totalité du besoin mondial en énergie, Fronius Solar Energy permet d’utiliser 24 heures de soleil. Nos solutions sont développées et fabriquées de manière durable uniquement en Europe, et principalement en Autriche. Avec 26 filiales, Fronius Solar Energy est représentée à l’international et peut se féliciter de disposer, à ce jour, d’une puissance totale de plus de 25 gigawatts d’onduleurs installés. La distribution est assurée via un réseau mondial de partenaires commerciaux et d’installateurs Fronius Service Partner formés et accrédités.</w:t>
      </w:r>
    </w:p>
    <w:p w14:paraId="4C087547" w14:textId="77777777" w:rsidR="0053537F" w:rsidRPr="00943997" w:rsidRDefault="0053537F" w:rsidP="0053537F">
      <w:pPr>
        <w:spacing w:after="0" w:line="240" w:lineRule="auto"/>
        <w:jc w:val="both"/>
        <w:rPr>
          <w:b/>
          <w:bCs/>
          <w:sz w:val="20"/>
          <w:szCs w:val="20"/>
        </w:rPr>
      </w:pPr>
      <w:bookmarkStart w:id="0" w:name="_Hlk107480427"/>
      <w:r w:rsidRPr="00943997">
        <w:rPr>
          <w:b/>
          <w:sz w:val="20"/>
        </w:rPr>
        <w:t>Nous sommes Fronius.</w:t>
      </w:r>
    </w:p>
    <w:bookmarkEnd w:id="0"/>
    <w:p w14:paraId="7B87EFF1" w14:textId="77777777" w:rsidR="0053537F" w:rsidRPr="00943997" w:rsidRDefault="0053537F" w:rsidP="0053537F">
      <w:pPr>
        <w:spacing w:after="0" w:line="240" w:lineRule="auto"/>
        <w:jc w:val="both"/>
        <w:rPr>
          <w:sz w:val="20"/>
          <w:szCs w:val="20"/>
        </w:rPr>
      </w:pPr>
      <w:r w:rsidRPr="00943997">
        <w:rPr>
          <w:sz w:val="20"/>
        </w:rPr>
        <w:t xml:space="preserve">Plus de 6 100 collaboratrices et collaborateurs répartis dans le monde, 89 % du chiffre d’affaires exporté à l’heure actuelle et 1 366 brevets actifs : voilà ce que nous sommes, ce qu’est Fronius. Fondée en 1945 en tant qu’entreprise régionale unipersonnelle, Fronius compte aujourd’hui parmi les acteurs mondiaux, comme en attestent nos 37 filiales ainsi que notre réseau de partenaires commerciaux dans plus de 60 pays. Notre cœur n’a pourtant pas changé : nous </w:t>
      </w:r>
      <w:r w:rsidRPr="00943997">
        <w:rPr>
          <w:sz w:val="20"/>
        </w:rPr>
        <w:lastRenderedPageBreak/>
        <w:t>sommes encore et toujours une entreprise familiale autrichienne, qui s’intéresse au photovoltaïque ainsi qu’aux technologies de soudage et de charge de batterie. Nous développons depuis lors des produits et solutions pour un avenir de qualité et proposons à notre clientèle des offres tout-en-un : de la planification préalable et des conseils au service de réparation adapté aux besoins, en passant par la surveillance continue. Nous sommes innovants. Nous sommes curieux. Nous sommes Fronius.</w:t>
      </w:r>
    </w:p>
    <w:p w14:paraId="290CF7DF" w14:textId="77777777" w:rsidR="0053537F" w:rsidRPr="00943997" w:rsidRDefault="0053537F" w:rsidP="0053537F">
      <w:pPr>
        <w:jc w:val="both"/>
        <w:rPr>
          <w:sz w:val="20"/>
          <w:szCs w:val="20"/>
        </w:rPr>
      </w:pPr>
    </w:p>
    <w:p w14:paraId="718E01A5" w14:textId="77777777" w:rsidR="0053537F" w:rsidRPr="002F207D" w:rsidRDefault="0053537F" w:rsidP="0053537F">
      <w:pPr>
        <w:pStyle w:val="berschrift4"/>
        <w:jc w:val="both"/>
        <w:rPr>
          <w:sz w:val="20"/>
          <w:szCs w:val="20"/>
        </w:rPr>
      </w:pPr>
      <w:r>
        <w:rPr>
          <w:sz w:val="20"/>
        </w:rPr>
        <w:t>Demandes d’informations</w:t>
      </w:r>
    </w:p>
    <w:p w14:paraId="6FE21CC3" w14:textId="77777777" w:rsidR="0053537F" w:rsidRPr="0015484D" w:rsidRDefault="0053537F" w:rsidP="0053537F">
      <w:pPr>
        <w:rPr>
          <w:sz w:val="20"/>
          <w:szCs w:val="20"/>
        </w:rPr>
      </w:pPr>
      <w:r>
        <w:rPr>
          <w:sz w:val="20"/>
        </w:rPr>
        <w:t xml:space="preserve">Fronius International GmbH, Andrea SCHARTNER, +43 664 88536765, </w:t>
      </w:r>
      <w:hyperlink r:id="rId11" w:history="1">
        <w:r>
          <w:rPr>
            <w:rStyle w:val="Hyperlink"/>
            <w:sz w:val="20"/>
          </w:rPr>
          <w:t>schartner.andrea@fronius.com</w:t>
        </w:r>
      </w:hyperlink>
      <w:r>
        <w:rPr>
          <w:sz w:val="20"/>
        </w:rPr>
        <w:t>, Froniusplatz 1, 4600 Wels, Autriche</w:t>
      </w:r>
    </w:p>
    <w:p w14:paraId="50764E90" w14:textId="77777777" w:rsidR="0053537F" w:rsidRPr="00C10DC9" w:rsidRDefault="0053537F" w:rsidP="0053537F">
      <w:pPr>
        <w:rPr>
          <w:rFonts w:eastAsia="Times New Roman" w:cs="Arial"/>
          <w:szCs w:val="20"/>
          <w:lang w:eastAsia="de-DE"/>
        </w:rPr>
      </w:pPr>
      <w:r w:rsidRPr="00E42FCC">
        <w:rPr>
          <w:sz w:val="20"/>
        </w:rPr>
        <w:t xml:space="preserve">Angelique SAGHERIAN, + 33 787 548062, </w:t>
      </w:r>
      <w:hyperlink r:id="rId12" w:history="1">
        <w:r w:rsidRPr="00E42FCC">
          <w:rPr>
            <w:rStyle w:val="Hyperlink"/>
            <w:sz w:val="20"/>
            <w:szCs w:val="20"/>
          </w:rPr>
          <w:t>sagherian.angelique@fronius.com</w:t>
        </w:r>
      </w:hyperlink>
      <w:r w:rsidRPr="00E42FCC">
        <w:rPr>
          <w:sz w:val="20"/>
        </w:rPr>
        <w:t>, ZAC du Moulin 8, rue du Meunier / BP 14061, 95723 Roissy CDG Cedex, France</w:t>
      </w:r>
    </w:p>
    <w:p w14:paraId="65B0CF8A" w14:textId="77777777" w:rsidR="0053537F" w:rsidRDefault="0053537F" w:rsidP="0053537F">
      <w:pPr>
        <w:spacing w:before="40" w:after="40" w:line="240" w:lineRule="auto"/>
        <w:rPr>
          <w:color w:val="000000" w:themeColor="text1"/>
          <w:sz w:val="20"/>
          <w:u w:val="single"/>
        </w:rPr>
      </w:pPr>
    </w:p>
    <w:p w14:paraId="4B16CA2F" w14:textId="77777777" w:rsidR="0053537F" w:rsidRDefault="0053537F" w:rsidP="0053537F">
      <w:pPr>
        <w:spacing w:before="40" w:after="40" w:line="240" w:lineRule="auto"/>
        <w:rPr>
          <w:rStyle w:val="Hyperlink"/>
          <w:sz w:val="20"/>
          <w:szCs w:val="20"/>
        </w:rPr>
      </w:pPr>
      <w:r>
        <w:rPr>
          <w:color w:val="000000" w:themeColor="text1"/>
          <w:sz w:val="20"/>
          <w:u w:val="single"/>
        </w:rPr>
        <w:t>Exemplaire justificatif :</w:t>
      </w:r>
      <w:r>
        <w:rPr>
          <w:color w:val="000000" w:themeColor="text1"/>
          <w:sz w:val="20"/>
          <w:u w:val="single"/>
        </w:rPr>
        <w:br/>
      </w:r>
      <w:r>
        <w:rPr>
          <w:sz w:val="20"/>
        </w:rPr>
        <w:t>a1kommunikation Schweizer GmbH, Rüdiger KEMPA,</w:t>
      </w:r>
      <w:r>
        <w:rPr>
          <w:sz w:val="20"/>
        </w:rPr>
        <w:br/>
      </w:r>
      <w:hyperlink r:id="rId13" w:history="1">
        <w:r>
          <w:rPr>
            <w:rStyle w:val="Hyperlink"/>
            <w:sz w:val="20"/>
          </w:rPr>
          <w:t>rke@a1kommunikation.de</w:t>
        </w:r>
      </w:hyperlink>
    </w:p>
    <w:p w14:paraId="445739E0" w14:textId="77777777" w:rsidR="0053537F" w:rsidRPr="00C52F19" w:rsidRDefault="0053537F" w:rsidP="0053537F">
      <w:pPr>
        <w:spacing w:before="40" w:after="40" w:line="240" w:lineRule="auto"/>
        <w:rPr>
          <w:color w:val="0563C1" w:themeColor="hyperlink"/>
          <w:sz w:val="20"/>
          <w:szCs w:val="20"/>
          <w:u w:val="single"/>
        </w:rPr>
      </w:pPr>
      <w:r>
        <w:rPr>
          <w:sz w:val="20"/>
        </w:rPr>
        <w:t>Oberdorfstraße 31 A, 70794 Filderstadt, Allemagne</w:t>
      </w:r>
    </w:p>
    <w:p w14:paraId="6154272E" w14:textId="77777777" w:rsidR="0053537F" w:rsidRDefault="0053537F" w:rsidP="0053537F">
      <w:pPr>
        <w:jc w:val="both"/>
        <w:rPr>
          <w:sz w:val="16"/>
          <w:szCs w:val="16"/>
        </w:rPr>
      </w:pPr>
    </w:p>
    <w:p w14:paraId="7470039F" w14:textId="77777777" w:rsidR="0053537F" w:rsidRPr="00604BFB" w:rsidRDefault="0053537F" w:rsidP="0053537F">
      <w:pPr>
        <w:jc w:val="both"/>
        <w:rPr>
          <w:sz w:val="16"/>
          <w:szCs w:val="16"/>
        </w:rPr>
      </w:pPr>
      <w:r>
        <w:rPr>
          <w:sz w:val="16"/>
        </w:rPr>
        <w:t xml:space="preserve">Si vous ne souhaitez plus recevoir de communiqués de presse de la Business Unit Solar Energy de Fronius International GmbH, répondez UNSUBSCRIBE à l’adresse e-mail </w:t>
      </w:r>
      <w:hyperlink r:id="rId14" w:history="1">
        <w:r>
          <w:rPr>
            <w:rStyle w:val="Hyperlink"/>
            <w:sz w:val="16"/>
          </w:rPr>
          <w:t>cancellation@fronius.com</w:t>
        </w:r>
      </w:hyperlink>
      <w:r>
        <w:rPr>
          <w:sz w:val="16"/>
        </w:rPr>
        <w:t>.</w:t>
      </w:r>
    </w:p>
    <w:p w14:paraId="0847EAE5" w14:textId="77777777" w:rsidR="0053537F" w:rsidRPr="00943997" w:rsidRDefault="0053537F" w:rsidP="0053537F">
      <w:pPr>
        <w:jc w:val="both"/>
        <w:rPr>
          <w:sz w:val="16"/>
          <w:szCs w:val="16"/>
        </w:rPr>
      </w:pPr>
    </w:p>
    <w:p w14:paraId="790215F6" w14:textId="1C437B94" w:rsidR="00670F02" w:rsidRPr="00604BFB" w:rsidRDefault="00670F02" w:rsidP="0053537F">
      <w:pPr>
        <w:pStyle w:val="berschrift4"/>
        <w:jc w:val="both"/>
        <w:rPr>
          <w:sz w:val="16"/>
          <w:szCs w:val="16"/>
        </w:rPr>
      </w:pPr>
    </w:p>
    <w:sectPr w:rsidR="00670F02" w:rsidRPr="00604BFB">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D4CF5C" w14:textId="77777777" w:rsidR="002505C1" w:rsidRDefault="002505C1" w:rsidP="00B54547">
      <w:pPr>
        <w:spacing w:after="0" w:line="240" w:lineRule="auto"/>
      </w:pPr>
      <w:r>
        <w:separator/>
      </w:r>
    </w:p>
  </w:endnote>
  <w:endnote w:type="continuationSeparator" w:id="0">
    <w:p w14:paraId="25BCF00E" w14:textId="77777777" w:rsidR="002505C1" w:rsidRDefault="002505C1"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w:panose1 w:val="020B0502040504020204"/>
    <w:charset w:val="00"/>
    <w:family w:val="swiss"/>
    <w:pitch w:val="variable"/>
    <w:sig w:usb0="E00002FF" w:usb1="4000201F" w:usb2="08000029"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Classe d’information : publique</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Classe d’information : publique</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A3DAF5" w14:textId="77777777" w:rsidR="002505C1" w:rsidRDefault="002505C1" w:rsidP="00B54547">
      <w:pPr>
        <w:spacing w:after="0" w:line="240" w:lineRule="auto"/>
      </w:pPr>
      <w:r>
        <w:separator/>
      </w:r>
    </w:p>
  </w:footnote>
  <w:footnote w:type="continuationSeparator" w:id="0">
    <w:p w14:paraId="5739EFC2" w14:textId="77777777" w:rsidR="002505C1" w:rsidRDefault="002505C1"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F5317D7"/>
    <w:multiLevelType w:val="hybridMultilevel"/>
    <w:tmpl w:val="ADBA244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18E82905"/>
    <w:multiLevelType w:val="hybridMultilevel"/>
    <w:tmpl w:val="7A1E4982"/>
    <w:lvl w:ilvl="0" w:tplc="2160C7D2">
      <w:numFmt w:val="bullet"/>
      <w:lvlText w:val="-"/>
      <w:lvlJc w:val="left"/>
      <w:pPr>
        <w:ind w:left="405" w:hanging="360"/>
      </w:pPr>
      <w:rPr>
        <w:rFonts w:ascii="Noto Sans" w:eastAsiaTheme="minorHAnsi" w:hAnsi="Noto Sans" w:cs="Noto Sans" w:hint="default"/>
        <w:i/>
      </w:rPr>
    </w:lvl>
    <w:lvl w:ilvl="1" w:tplc="0C070003" w:tentative="1">
      <w:start w:val="1"/>
      <w:numFmt w:val="bullet"/>
      <w:lvlText w:val="o"/>
      <w:lvlJc w:val="left"/>
      <w:pPr>
        <w:ind w:left="1125" w:hanging="360"/>
      </w:pPr>
      <w:rPr>
        <w:rFonts w:ascii="Courier New" w:hAnsi="Courier New" w:cs="Courier New" w:hint="default"/>
      </w:rPr>
    </w:lvl>
    <w:lvl w:ilvl="2" w:tplc="0C070005" w:tentative="1">
      <w:start w:val="1"/>
      <w:numFmt w:val="bullet"/>
      <w:lvlText w:val=""/>
      <w:lvlJc w:val="left"/>
      <w:pPr>
        <w:ind w:left="1845" w:hanging="360"/>
      </w:pPr>
      <w:rPr>
        <w:rFonts w:ascii="Wingdings" w:hAnsi="Wingdings" w:hint="default"/>
      </w:rPr>
    </w:lvl>
    <w:lvl w:ilvl="3" w:tplc="0C070001" w:tentative="1">
      <w:start w:val="1"/>
      <w:numFmt w:val="bullet"/>
      <w:lvlText w:val=""/>
      <w:lvlJc w:val="left"/>
      <w:pPr>
        <w:ind w:left="2565" w:hanging="360"/>
      </w:pPr>
      <w:rPr>
        <w:rFonts w:ascii="Symbol" w:hAnsi="Symbol" w:hint="default"/>
      </w:rPr>
    </w:lvl>
    <w:lvl w:ilvl="4" w:tplc="0C070003" w:tentative="1">
      <w:start w:val="1"/>
      <w:numFmt w:val="bullet"/>
      <w:lvlText w:val="o"/>
      <w:lvlJc w:val="left"/>
      <w:pPr>
        <w:ind w:left="3285" w:hanging="360"/>
      </w:pPr>
      <w:rPr>
        <w:rFonts w:ascii="Courier New" w:hAnsi="Courier New" w:cs="Courier New" w:hint="default"/>
      </w:rPr>
    </w:lvl>
    <w:lvl w:ilvl="5" w:tplc="0C070005" w:tentative="1">
      <w:start w:val="1"/>
      <w:numFmt w:val="bullet"/>
      <w:lvlText w:val=""/>
      <w:lvlJc w:val="left"/>
      <w:pPr>
        <w:ind w:left="4005" w:hanging="360"/>
      </w:pPr>
      <w:rPr>
        <w:rFonts w:ascii="Wingdings" w:hAnsi="Wingdings" w:hint="default"/>
      </w:rPr>
    </w:lvl>
    <w:lvl w:ilvl="6" w:tplc="0C070001" w:tentative="1">
      <w:start w:val="1"/>
      <w:numFmt w:val="bullet"/>
      <w:lvlText w:val=""/>
      <w:lvlJc w:val="left"/>
      <w:pPr>
        <w:ind w:left="4725" w:hanging="360"/>
      </w:pPr>
      <w:rPr>
        <w:rFonts w:ascii="Symbol" w:hAnsi="Symbol" w:hint="default"/>
      </w:rPr>
    </w:lvl>
    <w:lvl w:ilvl="7" w:tplc="0C070003" w:tentative="1">
      <w:start w:val="1"/>
      <w:numFmt w:val="bullet"/>
      <w:lvlText w:val="o"/>
      <w:lvlJc w:val="left"/>
      <w:pPr>
        <w:ind w:left="5445" w:hanging="360"/>
      </w:pPr>
      <w:rPr>
        <w:rFonts w:ascii="Courier New" w:hAnsi="Courier New" w:cs="Courier New" w:hint="default"/>
      </w:rPr>
    </w:lvl>
    <w:lvl w:ilvl="8" w:tplc="0C070005" w:tentative="1">
      <w:start w:val="1"/>
      <w:numFmt w:val="bullet"/>
      <w:lvlText w:val=""/>
      <w:lvlJc w:val="left"/>
      <w:pPr>
        <w:ind w:left="6165" w:hanging="360"/>
      </w:pPr>
      <w:rPr>
        <w:rFonts w:ascii="Wingdings" w:hAnsi="Wingdings" w:hint="default"/>
      </w:rPr>
    </w:lvl>
  </w:abstractNum>
  <w:abstractNum w:abstractNumId="4"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7"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8"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9" w15:restartNumberingAfterBreak="0">
    <w:nsid w:val="57D71B4C"/>
    <w:multiLevelType w:val="hybridMultilevel"/>
    <w:tmpl w:val="C8A643FC"/>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0"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1" w15:restartNumberingAfterBreak="0">
    <w:nsid w:val="6F421678"/>
    <w:multiLevelType w:val="hybridMultilevel"/>
    <w:tmpl w:val="4E6E23F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44986809">
    <w:abstractNumId w:val="10"/>
  </w:num>
  <w:num w:numId="2" w16cid:durableId="20741609">
    <w:abstractNumId w:val="0"/>
  </w:num>
  <w:num w:numId="3" w16cid:durableId="1189872239">
    <w:abstractNumId w:val="6"/>
  </w:num>
  <w:num w:numId="4" w16cid:durableId="1547373761">
    <w:abstractNumId w:val="8"/>
  </w:num>
  <w:num w:numId="5" w16cid:durableId="2110468141">
    <w:abstractNumId w:val="7"/>
  </w:num>
  <w:num w:numId="6" w16cid:durableId="1034384457">
    <w:abstractNumId w:val="1"/>
  </w:num>
  <w:num w:numId="7" w16cid:durableId="191187278">
    <w:abstractNumId w:val="5"/>
  </w:num>
  <w:num w:numId="8" w16cid:durableId="986014788">
    <w:abstractNumId w:val="4"/>
  </w:num>
  <w:num w:numId="9" w16cid:durableId="1506508248">
    <w:abstractNumId w:val="9"/>
  </w:num>
  <w:num w:numId="10" w16cid:durableId="1849101602">
    <w:abstractNumId w:val="2"/>
  </w:num>
  <w:num w:numId="11" w16cid:durableId="416558121">
    <w:abstractNumId w:val="11"/>
  </w:num>
  <w:num w:numId="12" w16cid:durableId="14905615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30C3B"/>
    <w:rsid w:val="00031163"/>
    <w:rsid w:val="00060854"/>
    <w:rsid w:val="00061FB8"/>
    <w:rsid w:val="0006318F"/>
    <w:rsid w:val="000656D1"/>
    <w:rsid w:val="000B082C"/>
    <w:rsid w:val="000C21B3"/>
    <w:rsid w:val="000E199C"/>
    <w:rsid w:val="000F0C31"/>
    <w:rsid w:val="000F4848"/>
    <w:rsid w:val="00102F0B"/>
    <w:rsid w:val="00123EA6"/>
    <w:rsid w:val="0015484D"/>
    <w:rsid w:val="001668E3"/>
    <w:rsid w:val="00196F99"/>
    <w:rsid w:val="0019794E"/>
    <w:rsid w:val="001A34C4"/>
    <w:rsid w:val="001B4713"/>
    <w:rsid w:val="001B6815"/>
    <w:rsid w:val="001B7899"/>
    <w:rsid w:val="001F32BF"/>
    <w:rsid w:val="001F4980"/>
    <w:rsid w:val="00202BA1"/>
    <w:rsid w:val="002179E1"/>
    <w:rsid w:val="0024308B"/>
    <w:rsid w:val="002505C1"/>
    <w:rsid w:val="002614B5"/>
    <w:rsid w:val="00282219"/>
    <w:rsid w:val="002846EC"/>
    <w:rsid w:val="00285AAA"/>
    <w:rsid w:val="002872A5"/>
    <w:rsid w:val="002A2778"/>
    <w:rsid w:val="002C6F9D"/>
    <w:rsid w:val="002D112D"/>
    <w:rsid w:val="002D7A44"/>
    <w:rsid w:val="002E4785"/>
    <w:rsid w:val="002F207D"/>
    <w:rsid w:val="0030062E"/>
    <w:rsid w:val="00303739"/>
    <w:rsid w:val="00321F21"/>
    <w:rsid w:val="003405C8"/>
    <w:rsid w:val="00362C6E"/>
    <w:rsid w:val="003773D6"/>
    <w:rsid w:val="00390D2E"/>
    <w:rsid w:val="003932FE"/>
    <w:rsid w:val="003B7D5E"/>
    <w:rsid w:val="003C25DA"/>
    <w:rsid w:val="003C2D73"/>
    <w:rsid w:val="003E6855"/>
    <w:rsid w:val="003E7E44"/>
    <w:rsid w:val="00403C78"/>
    <w:rsid w:val="00404DBE"/>
    <w:rsid w:val="00415092"/>
    <w:rsid w:val="00424297"/>
    <w:rsid w:val="00427051"/>
    <w:rsid w:val="004332AD"/>
    <w:rsid w:val="004349E3"/>
    <w:rsid w:val="0044171E"/>
    <w:rsid w:val="004420B7"/>
    <w:rsid w:val="00444E74"/>
    <w:rsid w:val="004472BA"/>
    <w:rsid w:val="00451F65"/>
    <w:rsid w:val="00455012"/>
    <w:rsid w:val="00470A9D"/>
    <w:rsid w:val="0048226C"/>
    <w:rsid w:val="004823B0"/>
    <w:rsid w:val="004A4FE4"/>
    <w:rsid w:val="004A6456"/>
    <w:rsid w:val="004D6DF2"/>
    <w:rsid w:val="004E0922"/>
    <w:rsid w:val="004F2092"/>
    <w:rsid w:val="0051114E"/>
    <w:rsid w:val="00512C4C"/>
    <w:rsid w:val="005277EB"/>
    <w:rsid w:val="005320F3"/>
    <w:rsid w:val="0053537F"/>
    <w:rsid w:val="00556B1C"/>
    <w:rsid w:val="005737EF"/>
    <w:rsid w:val="00582BF5"/>
    <w:rsid w:val="005836A8"/>
    <w:rsid w:val="005874EF"/>
    <w:rsid w:val="005A26BF"/>
    <w:rsid w:val="005B737F"/>
    <w:rsid w:val="005D1521"/>
    <w:rsid w:val="005D1748"/>
    <w:rsid w:val="005D1AEB"/>
    <w:rsid w:val="005D322D"/>
    <w:rsid w:val="005E62BC"/>
    <w:rsid w:val="005E7892"/>
    <w:rsid w:val="005F0FE1"/>
    <w:rsid w:val="005F1607"/>
    <w:rsid w:val="00604BFB"/>
    <w:rsid w:val="00612FD3"/>
    <w:rsid w:val="00670F02"/>
    <w:rsid w:val="006747C7"/>
    <w:rsid w:val="0069592E"/>
    <w:rsid w:val="006A70EA"/>
    <w:rsid w:val="006B3354"/>
    <w:rsid w:val="006B5239"/>
    <w:rsid w:val="006B7AB4"/>
    <w:rsid w:val="006D09D8"/>
    <w:rsid w:val="006D1F17"/>
    <w:rsid w:val="006D2AEF"/>
    <w:rsid w:val="006D6430"/>
    <w:rsid w:val="00703F47"/>
    <w:rsid w:val="007252E6"/>
    <w:rsid w:val="00725FA1"/>
    <w:rsid w:val="00730C60"/>
    <w:rsid w:val="00740041"/>
    <w:rsid w:val="00766FC0"/>
    <w:rsid w:val="00785D72"/>
    <w:rsid w:val="007A57E3"/>
    <w:rsid w:val="007B76AF"/>
    <w:rsid w:val="007C57F8"/>
    <w:rsid w:val="007C61B7"/>
    <w:rsid w:val="0080225A"/>
    <w:rsid w:val="00802871"/>
    <w:rsid w:val="0081465F"/>
    <w:rsid w:val="00816914"/>
    <w:rsid w:val="00831633"/>
    <w:rsid w:val="008404EE"/>
    <w:rsid w:val="00860CC8"/>
    <w:rsid w:val="0086230A"/>
    <w:rsid w:val="008A104F"/>
    <w:rsid w:val="008A721F"/>
    <w:rsid w:val="008C5190"/>
    <w:rsid w:val="008D7983"/>
    <w:rsid w:val="008E1774"/>
    <w:rsid w:val="008E7D37"/>
    <w:rsid w:val="008F07F6"/>
    <w:rsid w:val="008F2EE0"/>
    <w:rsid w:val="008F3118"/>
    <w:rsid w:val="008F4ED5"/>
    <w:rsid w:val="008F54A6"/>
    <w:rsid w:val="00906679"/>
    <w:rsid w:val="00925DAC"/>
    <w:rsid w:val="00933F3D"/>
    <w:rsid w:val="00962B6D"/>
    <w:rsid w:val="00963BB4"/>
    <w:rsid w:val="009F152F"/>
    <w:rsid w:val="00A00555"/>
    <w:rsid w:val="00A55F83"/>
    <w:rsid w:val="00A66F74"/>
    <w:rsid w:val="00A67B55"/>
    <w:rsid w:val="00A81E2B"/>
    <w:rsid w:val="00A978C6"/>
    <w:rsid w:val="00A97A1B"/>
    <w:rsid w:val="00AC02A0"/>
    <w:rsid w:val="00AC61D0"/>
    <w:rsid w:val="00AC65BB"/>
    <w:rsid w:val="00AE086C"/>
    <w:rsid w:val="00AE7975"/>
    <w:rsid w:val="00B008CE"/>
    <w:rsid w:val="00B107A9"/>
    <w:rsid w:val="00B25C3B"/>
    <w:rsid w:val="00B309A8"/>
    <w:rsid w:val="00B31062"/>
    <w:rsid w:val="00B37D8D"/>
    <w:rsid w:val="00B501CF"/>
    <w:rsid w:val="00B52F2E"/>
    <w:rsid w:val="00B54547"/>
    <w:rsid w:val="00B63556"/>
    <w:rsid w:val="00B82141"/>
    <w:rsid w:val="00B8257D"/>
    <w:rsid w:val="00B95BCC"/>
    <w:rsid w:val="00BE13D2"/>
    <w:rsid w:val="00BE64CC"/>
    <w:rsid w:val="00BF2F5E"/>
    <w:rsid w:val="00C02BD4"/>
    <w:rsid w:val="00C15622"/>
    <w:rsid w:val="00C17BEE"/>
    <w:rsid w:val="00C235BA"/>
    <w:rsid w:val="00C44B9C"/>
    <w:rsid w:val="00C670DE"/>
    <w:rsid w:val="00C921A2"/>
    <w:rsid w:val="00C93388"/>
    <w:rsid w:val="00C939B3"/>
    <w:rsid w:val="00C93EBB"/>
    <w:rsid w:val="00CA1962"/>
    <w:rsid w:val="00CA56AD"/>
    <w:rsid w:val="00CB1448"/>
    <w:rsid w:val="00CC0612"/>
    <w:rsid w:val="00CD432F"/>
    <w:rsid w:val="00D0522E"/>
    <w:rsid w:val="00D120B2"/>
    <w:rsid w:val="00D22B0A"/>
    <w:rsid w:val="00D32E1B"/>
    <w:rsid w:val="00D44135"/>
    <w:rsid w:val="00D61309"/>
    <w:rsid w:val="00D77E57"/>
    <w:rsid w:val="00D85A03"/>
    <w:rsid w:val="00DA6B34"/>
    <w:rsid w:val="00DB3BA5"/>
    <w:rsid w:val="00DB7924"/>
    <w:rsid w:val="00DD51EC"/>
    <w:rsid w:val="00DE201A"/>
    <w:rsid w:val="00DE3F47"/>
    <w:rsid w:val="00DF5290"/>
    <w:rsid w:val="00E60432"/>
    <w:rsid w:val="00E83DD7"/>
    <w:rsid w:val="00E844C4"/>
    <w:rsid w:val="00E9591C"/>
    <w:rsid w:val="00EA26EC"/>
    <w:rsid w:val="00EA52A7"/>
    <w:rsid w:val="00EC6E68"/>
    <w:rsid w:val="00ED221B"/>
    <w:rsid w:val="00ED45E9"/>
    <w:rsid w:val="00ED5549"/>
    <w:rsid w:val="00EE596E"/>
    <w:rsid w:val="00F05EE4"/>
    <w:rsid w:val="00F131D4"/>
    <w:rsid w:val="00F31873"/>
    <w:rsid w:val="00F617C6"/>
    <w:rsid w:val="00F67725"/>
    <w:rsid w:val="00F71FE8"/>
    <w:rsid w:val="00F75D7F"/>
    <w:rsid w:val="00FC5BFA"/>
    <w:rsid w:val="00FD0EE7"/>
    <w:rsid w:val="00FD50E0"/>
    <w:rsid w:val="00FE3F42"/>
    <w:rsid w:val="00FF0C18"/>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fr-FR"/>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fr-FR"/>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5F0FE1"/>
    <w:rPr>
      <w:sz w:val="16"/>
      <w:szCs w:val="16"/>
    </w:rPr>
  </w:style>
  <w:style w:type="paragraph" w:styleId="Kommentartext">
    <w:name w:val="annotation text"/>
    <w:basedOn w:val="Standard"/>
    <w:link w:val="KommentartextZchn"/>
    <w:uiPriority w:val="99"/>
    <w:unhideWhenUsed/>
    <w:rsid w:val="005F0FE1"/>
    <w:pPr>
      <w:spacing w:line="240" w:lineRule="auto"/>
    </w:pPr>
    <w:rPr>
      <w:sz w:val="20"/>
      <w:szCs w:val="20"/>
    </w:rPr>
  </w:style>
  <w:style w:type="character" w:customStyle="1" w:styleId="KommentartextZchn">
    <w:name w:val="Kommentartext Zchn"/>
    <w:basedOn w:val="Absatz-Standardschriftart"/>
    <w:link w:val="Kommentartext"/>
    <w:uiPriority w:val="99"/>
    <w:rsid w:val="005F0FE1"/>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5F0FE1"/>
    <w:rPr>
      <w:b/>
      <w:bCs/>
    </w:rPr>
  </w:style>
  <w:style w:type="character" w:customStyle="1" w:styleId="KommentarthemaZchn">
    <w:name w:val="Kommentarthema Zchn"/>
    <w:basedOn w:val="KommentartextZchn"/>
    <w:link w:val="Kommentarthema"/>
    <w:uiPriority w:val="99"/>
    <w:semiHidden/>
    <w:rsid w:val="005F0FE1"/>
    <w:rPr>
      <w:rFonts w:ascii="Noto Sans" w:hAnsi="Noto Sans"/>
      <w:b/>
      <w:bCs/>
      <w:sz w:val="20"/>
      <w:szCs w:val="20"/>
    </w:rPr>
  </w:style>
  <w:style w:type="paragraph" w:styleId="berarbeitung">
    <w:name w:val="Revision"/>
    <w:hidden/>
    <w:uiPriority w:val="99"/>
    <w:semiHidden/>
    <w:rsid w:val="00ED45E9"/>
    <w:pPr>
      <w:spacing w:after="0" w:line="240" w:lineRule="auto"/>
    </w:pPr>
    <w:rPr>
      <w:rFonts w:ascii="Noto Sans" w:hAnsi="Noto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9543939">
      <w:bodyDiv w:val="1"/>
      <w:marLeft w:val="0"/>
      <w:marRight w:val="0"/>
      <w:marTop w:val="0"/>
      <w:marBottom w:val="0"/>
      <w:divBdr>
        <w:top w:val="none" w:sz="0" w:space="0" w:color="auto"/>
        <w:left w:val="none" w:sz="0" w:space="0" w:color="auto"/>
        <w:bottom w:val="none" w:sz="0" w:space="0" w:color="auto"/>
        <w:right w:val="none" w:sz="0" w:space="0" w:color="auto"/>
      </w:divBdr>
    </w:div>
    <w:div w:id="612323058">
      <w:bodyDiv w:val="1"/>
      <w:marLeft w:val="0"/>
      <w:marRight w:val="0"/>
      <w:marTop w:val="0"/>
      <w:marBottom w:val="0"/>
      <w:divBdr>
        <w:top w:val="none" w:sz="0" w:space="0" w:color="auto"/>
        <w:left w:val="none" w:sz="0" w:space="0" w:color="auto"/>
        <w:bottom w:val="none" w:sz="0" w:space="0" w:color="auto"/>
        <w:right w:val="none" w:sz="0" w:space="0" w:color="auto"/>
      </w:divBdr>
    </w:div>
    <w:div w:id="735054302">
      <w:bodyDiv w:val="1"/>
      <w:marLeft w:val="0"/>
      <w:marRight w:val="0"/>
      <w:marTop w:val="0"/>
      <w:marBottom w:val="0"/>
      <w:divBdr>
        <w:top w:val="none" w:sz="0" w:space="0" w:color="auto"/>
        <w:left w:val="none" w:sz="0" w:space="0" w:color="auto"/>
        <w:bottom w:val="none" w:sz="0" w:space="0" w:color="auto"/>
        <w:right w:val="none" w:sz="0" w:space="0" w:color="auto"/>
      </w:divBdr>
    </w:div>
    <w:div w:id="918828545">
      <w:bodyDiv w:val="1"/>
      <w:marLeft w:val="0"/>
      <w:marRight w:val="0"/>
      <w:marTop w:val="0"/>
      <w:marBottom w:val="0"/>
      <w:divBdr>
        <w:top w:val="none" w:sz="0" w:space="0" w:color="auto"/>
        <w:left w:val="none" w:sz="0" w:space="0" w:color="auto"/>
        <w:bottom w:val="none" w:sz="0" w:space="0" w:color="auto"/>
        <w:right w:val="none" w:sz="0" w:space="0" w:color="auto"/>
      </w:divBdr>
    </w:div>
    <w:div w:id="1129317936">
      <w:bodyDiv w:val="1"/>
      <w:marLeft w:val="0"/>
      <w:marRight w:val="0"/>
      <w:marTop w:val="0"/>
      <w:marBottom w:val="0"/>
      <w:divBdr>
        <w:top w:val="none" w:sz="0" w:space="0" w:color="auto"/>
        <w:left w:val="none" w:sz="0" w:space="0" w:color="auto"/>
        <w:bottom w:val="none" w:sz="0" w:space="0" w:color="auto"/>
        <w:right w:val="none" w:sz="0" w:space="0" w:color="auto"/>
      </w:divBdr>
    </w:div>
    <w:div w:id="1346404013">
      <w:bodyDiv w:val="1"/>
      <w:marLeft w:val="0"/>
      <w:marRight w:val="0"/>
      <w:marTop w:val="0"/>
      <w:marBottom w:val="0"/>
      <w:divBdr>
        <w:top w:val="none" w:sz="0" w:space="0" w:color="auto"/>
        <w:left w:val="none" w:sz="0" w:space="0" w:color="auto"/>
        <w:bottom w:val="none" w:sz="0" w:space="0" w:color="auto"/>
        <w:right w:val="none" w:sz="0" w:space="0" w:color="auto"/>
      </w:divBdr>
    </w:div>
    <w:div w:id="1452018865">
      <w:bodyDiv w:val="1"/>
      <w:marLeft w:val="0"/>
      <w:marRight w:val="0"/>
      <w:marTop w:val="0"/>
      <w:marBottom w:val="0"/>
      <w:divBdr>
        <w:top w:val="none" w:sz="0" w:space="0" w:color="auto"/>
        <w:left w:val="none" w:sz="0" w:space="0" w:color="auto"/>
        <w:bottom w:val="none" w:sz="0" w:space="0" w:color="auto"/>
        <w:right w:val="none" w:sz="0" w:space="0" w:color="auto"/>
      </w:divBdr>
    </w:div>
    <w:div w:id="1676490230">
      <w:bodyDiv w:val="1"/>
      <w:marLeft w:val="0"/>
      <w:marRight w:val="0"/>
      <w:marTop w:val="0"/>
      <w:marBottom w:val="0"/>
      <w:divBdr>
        <w:top w:val="none" w:sz="0" w:space="0" w:color="auto"/>
        <w:left w:val="none" w:sz="0" w:space="0" w:color="auto"/>
        <w:bottom w:val="none" w:sz="0" w:space="0" w:color="auto"/>
        <w:right w:val="none" w:sz="0" w:space="0" w:color="auto"/>
      </w:divBdr>
    </w:div>
    <w:div w:id="2000305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rke@a1kommunikation.de" TargetMode="Externa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yperlink" Target="mailto:sagherian.angelique@fronius.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chartner.andrea@fronius.com" TargetMode="Externa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customXml" Target="../customXml/item6.xml"/><Relationship Id="rId10" Type="http://schemas.openxmlformats.org/officeDocument/2006/relationships/image" Target="media/image3.jpeg"/><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cancellation@fronius.com" TargetMode="Externa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Produktion läuft auf Hochtouren 2022/12</title_TI_DE>
    <title_TI_NO xmlns="dc0c2c3d-e9fc-4a0d-820b-87ab82e65f20">Production at Full Speed 2022/12</title_TI_NO>
    <Documenttype_PT xmlns="dc0c2c3d-e9fc-4a0d-820b-87ab82e65f20">Comunicado à imprensa</Documenttype_PT>
    <Documenttype_RU xmlns="dc0c2c3d-e9fc-4a0d-820b-87ab82e65f20">Пресс-релиз</Documenttype_RU>
    <title_TI_TR xmlns="dc0c2c3d-e9fc-4a0d-820b-87ab82e65f20">Production at Full Speed 2022/12</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Production at Full Speed 2022/12</title_TI_TH>
    <Licence_x0020_information xmlns="dc0c2c3d-e9fc-4a0d-820b-87ab82e65f20">(c) Fronius International</Licence_x0020_information>
    <title_TI_EA xmlns="dc0c2c3d-e9fc-4a0d-820b-87ab82e65f20">Production at Full Speed 2022/12</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Production at Full Speed 2022/12</title_TI_DA>
    <Documenttype_TR xmlns="dc0c2c3d-e9fc-4a0d-820b-87ab82e65f20">Basın bülteni</Documenttype_TR>
    <title_TI_PL xmlns="dc0c2c3d-e9fc-4a0d-820b-87ab82e65f20">Production at Full Speed 2022/12</title_TI_PL>
    <Documenttype_TH xmlns="dc0c2c3d-e9fc-4a0d-820b-87ab82e65f20">ข่าวประชาสัมพันธ์</Documenttype_TH>
    <title_TI_EL xmlns="dc0c2c3d-e9fc-4a0d-820b-87ab82e65f20">Production at Full Speed 2022/12</title_TI_EL>
    <Documenttype_EA xmlns="dc0c2c3d-e9fc-4a0d-820b-87ab82e65f20">Press Release</Documenttype_EA>
    <Web_x0020_Display_x0020_Title_x0020_ET xmlns="dc0c2c3d-e9fc-4a0d-820b-87ab82e65f20">Production at Full Speed 2022/12</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Production at Full Speed 2022/12</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Production at Full Speed 2022/12</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C-139030</FileMaster>
    <title_TI_NL xmlns="dc0c2c3d-e9fc-4a0d-820b-87ab82e65f20">Production at Full Speed 2022/12</title_TI_NL>
    <contentservId xmlns="c4543867-fb67-4424-a255-4d54d75e50e3">C-139034</contentservId>
    <title_TI_IT xmlns="dc0c2c3d-e9fc-4a0d-820b-87ab82e65f20">Production at Full Speed 2022/12</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Production at Full Speed 2022/12</title_TI_UA>
    <title_TI_JP xmlns="dc0c2c3d-e9fc-4a0d-820b-87ab82e65f20">Production at Full Speed 2022/12</title_TI_JP>
    <Documenttype_NL xmlns="dc0c2c3d-e9fc-4a0d-820b-87ab82e65f20">Persbericht</Documenttype_NL>
    <title_TI_RO xmlns="dc0c2c3d-e9fc-4a0d-820b-87ab82e65f20">Production at Full Speed 2022/12</title_TI_RO>
    <Documenttype_NB xmlns="c4543867-fb67-4424-a255-4d54d75e50e3">Presseinformasjon</Documenttype_NB>
    <title_ti_nb xmlns="dc0c2c3d-e9fc-4a0d-820b-87ab82e65f20" xsi:nil="true"/>
    <title_TI_ES xmlns="dc0c2c3d-e9fc-4a0d-820b-87ab82e65f20">Production at Full Speed 2022/12</title_TI_ES>
    <title_TI_JA xmlns="dc0c2c3d-e9fc-4a0d-820b-87ab82e65f20">Production at Full Speed 2022/12</title_TI_JA>
    <Documenttype_IT xmlns="dc0c2c3d-e9fc-4a0d-820b-87ab82e65f20">Comunicato stampa</Documenttype_IT>
    <Documenttype_ZH xmlns="dc0c2c3d-e9fc-4a0d-820b-87ab82e65f20">Press Release</Documenttype_ZH>
    <TaxCatchAll xmlns="92f60987-cbcc-4245-baaf-239af3bfd6e8">
      <Value>1</Value>
      <Value>261</Value>
    </TaxCatchAll>
    <AGB xmlns="dc0c2c3d-e9fc-4a0d-820b-87ab82e65f20">false</AGB>
    <title_TI_EN xmlns="dc0c2c3d-e9fc-4a0d-820b-87ab82e65f20">Production at Full Speed 2022/12</title_TI_EN>
    <MRMKeyWords xmlns="dc0c2c3d-e9fc-4a0d-820b-87ab82e65f20">#Presse#Produktion#Sattledt#Solar Energy#PV Anlage#Presseaussendung#Fronius#Inverter#GEN24 Plus#Tauro#press#production#PV system#press release#inverter#Taurus#Investment#presse#produktion#sattledt#solarenergy#pvanlage#presseaussendung#pressrelease#fronius#gen24plus#tauro#investment#</MRMKeyWords>
    <title_ti_zh xmlns="dc0c2c3d-e9fc-4a0d-820b-87ab82e65f20">Production at Full Speed 2022/12</title_ti_zh>
    <MRMID xmlns="dc0c2c3d-e9fc-4a0d-820b-87ab82e65f20">M-194561</MRMID>
    <Documenttype_UK xmlns="c4543867-fb67-4424-a255-4d54d75e50e3">Прес-релізи</Documenttype_UK>
    <title_TI_SK xmlns="dc0c2c3d-e9fc-4a0d-820b-87ab82e65f20">Production at Full Speed 2022/12</title_TI_SK>
    <Documenttype_UA xmlns="dc0c2c3d-e9fc-4a0d-820b-87ab82e65f20">Прес-релізи</Documenttype_UA>
    <title_TI_HU xmlns="dc0c2c3d-e9fc-4a0d-820b-87ab82e65f20">Production at Full Speed 2022/12</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Production at Full Speed 2022/12</title_TI_PT>
    <title_ti_fi xmlns="dc0c2c3d-e9fc-4a0d-820b-87ab82e65f20">Production at Full Speed 2022/12</title_ti_fi>
    <Country xmlns="dc0c2c3d-e9fc-4a0d-820b-87ab82e65f20">
      <Value>17</Value>
    </Country>
    <fro_spid xmlns="dc0c2c3d-e9fc-4a0d-820b-87ab82e65f20">9114;SE</fro_spid>
    <title_TI_RU xmlns="dc0c2c3d-e9fc-4a0d-820b-87ab82e65f20">Production at Full Speed 2022/12</title_TI_RU>
    <Documenttype_JA xmlns="dc0c2c3d-e9fc-4a0d-820b-87ab82e65f20">ニュースリリース</Documenttype_JA>
    <Colour_x0020_space xmlns="dc0c2c3d-e9fc-4a0d-820b-87ab82e65f20" xsi:nil="true"/>
    <title_TI_CS xmlns="dc0c2c3d-e9fc-4a0d-820b-87ab82e65f20">Production at Full Speed 2022/12</title_TI_CS>
    <title_TI_AR xmlns="dc0c2c3d-e9fc-4a0d-820b-87ab82e65f20">Production at Full Speed 2022/12</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CB245101-F38B-48F4-9C29-DDC6E35FD666}">
  <ds:schemaRefs>
    <ds:schemaRef ds:uri="http://schemas.openxmlformats.org/officeDocument/2006/bibliography"/>
  </ds:schemaRefs>
</ds:datastoreItem>
</file>

<file path=customXml/itemProps2.xml><?xml version="1.0" encoding="utf-8"?>
<ds:datastoreItem xmlns:ds="http://schemas.openxmlformats.org/officeDocument/2006/customXml" ds:itemID="{EAF4A0AE-6C4D-4904-871B-E27EBE715646}"/>
</file>

<file path=customXml/itemProps3.xml><?xml version="1.0" encoding="utf-8"?>
<ds:datastoreItem xmlns:ds="http://schemas.openxmlformats.org/officeDocument/2006/customXml" ds:itemID="{86FD690E-F6EB-4AE2-9533-0B6EF07C6692}"/>
</file>

<file path=customXml/itemProps4.xml><?xml version="1.0" encoding="utf-8"?>
<ds:datastoreItem xmlns:ds="http://schemas.openxmlformats.org/officeDocument/2006/customXml" ds:itemID="{ED6BE365-A03A-4E47-ABB0-8E8291B838E9}"/>
</file>

<file path=customXml/itemProps5.xml><?xml version="1.0" encoding="utf-8"?>
<ds:datastoreItem xmlns:ds="http://schemas.openxmlformats.org/officeDocument/2006/customXml" ds:itemID="{CC32B328-354E-4B59-B379-0002897A2F61}"/>
</file>

<file path=customXml/itemProps6.xml><?xml version="1.0" encoding="utf-8"?>
<ds:datastoreItem xmlns:ds="http://schemas.openxmlformats.org/officeDocument/2006/customXml" ds:itemID="{F6479E0D-20CB-4824-A3AF-BB2E2AC17FE5}"/>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985</Words>
  <Characters>6211</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SE_PR_Production_at_Full_Speed_FR</dc:title>
  <dc:subject/>
  <dc:creator>Kneringer Daniel</dc:creator>
  <cp:keywords/>
  <dc:description/>
  <cp:lastModifiedBy>Reibenberger Maria</cp:lastModifiedBy>
  <cp:revision>8</cp:revision>
  <cp:lastPrinted>2022-12-01T09:07:00Z</cp:lastPrinted>
  <dcterms:created xsi:type="dcterms:W3CDTF">2022-12-05T10:48:00Z</dcterms:created>
  <dcterms:modified xsi:type="dcterms:W3CDTF">2022-12-20T17:36:00Z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261;##FR|a2603a05-6eff-4a5e-8133-294bf1436696</vt:lpwstr>
  </property>
  <property fmtid="{D5CDD505-2E9C-101B-9397-08002B2CF9AE}" pid="11" name="FroConDoc_language">
    <vt:lpwstr>1;#DE|676160ea-61f7-4cef-8b4c-1724dec2206e</vt:lpwstr>
  </property>
</Properties>
</file>