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722F4" w14:textId="05A6BBB5" w:rsidR="00ED5549" w:rsidRPr="00542C15" w:rsidRDefault="00ED5549" w:rsidP="004114C7">
      <w:pPr>
        <w:jc w:val="both"/>
        <w:rPr>
          <w:sz w:val="20"/>
          <w:szCs w:val="20"/>
          <w:lang w:val="en-US"/>
        </w:rPr>
      </w:pPr>
    </w:p>
    <w:p w14:paraId="687BC23B" w14:textId="77777777" w:rsidR="00ED5549" w:rsidRPr="00542C15" w:rsidRDefault="00ED5549" w:rsidP="004114C7">
      <w:pPr>
        <w:jc w:val="both"/>
        <w:rPr>
          <w:sz w:val="20"/>
          <w:szCs w:val="20"/>
          <w:lang w:val="en-US"/>
        </w:rPr>
      </w:pPr>
    </w:p>
    <w:p w14:paraId="64EAFB9B" w14:textId="273A2B2D" w:rsidR="002D7A44" w:rsidRPr="00542C15" w:rsidRDefault="00ED5549" w:rsidP="004114C7">
      <w:pPr>
        <w:pStyle w:val="berschrift1"/>
        <w:jc w:val="both"/>
      </w:pPr>
      <w:r w:rsidRPr="00542C15">
        <w:t>Comunicado à imprensa</w:t>
      </w:r>
    </w:p>
    <w:p w14:paraId="07CB8F03" w14:textId="06F6FC04" w:rsidR="00ED5549" w:rsidRPr="00542C15" w:rsidRDefault="0051114E" w:rsidP="004114C7">
      <w:pPr>
        <w:jc w:val="both"/>
      </w:pPr>
      <w:r w:rsidRPr="00542C15">
        <w:rPr>
          <w:sz w:val="20"/>
        </w:rPr>
        <w:t>Solar Energy</w:t>
      </w:r>
    </w:p>
    <w:p w14:paraId="3EF5C6DD" w14:textId="6608F6CF" w:rsidR="00ED5549" w:rsidRPr="00542C15" w:rsidRDefault="00ED5549" w:rsidP="004114C7">
      <w:pPr>
        <w:jc w:val="both"/>
        <w:rPr>
          <w:sz w:val="20"/>
          <w:szCs w:val="20"/>
        </w:rPr>
      </w:pPr>
    </w:p>
    <w:p w14:paraId="00F13E77" w14:textId="77777777" w:rsidR="00E83DD7" w:rsidRPr="00542C15" w:rsidRDefault="00E83DD7" w:rsidP="004114C7">
      <w:pPr>
        <w:jc w:val="both"/>
        <w:rPr>
          <w:sz w:val="20"/>
          <w:szCs w:val="20"/>
        </w:rPr>
      </w:pPr>
    </w:p>
    <w:p w14:paraId="4F8F137E" w14:textId="56102395" w:rsidR="006D6430" w:rsidRPr="00542C15" w:rsidRDefault="0070153C" w:rsidP="004114C7">
      <w:pPr>
        <w:pStyle w:val="HeadlineGreen"/>
        <w:jc w:val="both"/>
        <w:rPr>
          <w:color w:val="auto"/>
          <w:sz w:val="22"/>
          <w:szCs w:val="20"/>
        </w:rPr>
      </w:pPr>
      <w:r w:rsidRPr="00542C15">
        <w:rPr>
          <w:color w:val="auto"/>
          <w:sz w:val="22"/>
        </w:rPr>
        <w:t>Desenvolvimento é fundamental</w:t>
      </w:r>
    </w:p>
    <w:p w14:paraId="726FD8A5" w14:textId="1DFE8012" w:rsidR="002D7A44" w:rsidRPr="00542C15" w:rsidRDefault="0070153C" w:rsidP="004114C7">
      <w:pPr>
        <w:pStyle w:val="berschrift2"/>
        <w:jc w:val="both"/>
        <w:rPr>
          <w:color w:val="auto"/>
          <w:sz w:val="32"/>
          <w:szCs w:val="28"/>
        </w:rPr>
      </w:pPr>
      <w:r w:rsidRPr="00542C15">
        <w:rPr>
          <w:color w:val="auto"/>
          <w:sz w:val="32"/>
        </w:rPr>
        <w:t>Novos recursos para o Fronius Wattpilot</w:t>
      </w:r>
    </w:p>
    <w:p w14:paraId="2CC4F935" w14:textId="77777777" w:rsidR="00ED5549" w:rsidRPr="00542C15" w:rsidRDefault="00ED5549" w:rsidP="004114C7">
      <w:pPr>
        <w:jc w:val="both"/>
        <w:rPr>
          <w:sz w:val="20"/>
          <w:szCs w:val="20"/>
        </w:rPr>
      </w:pPr>
    </w:p>
    <w:p w14:paraId="47D72435" w14:textId="2BC13F17" w:rsidR="001668E3" w:rsidRPr="00542C15" w:rsidRDefault="00ED5549" w:rsidP="004114C7">
      <w:pPr>
        <w:jc w:val="both"/>
        <w:rPr>
          <w:sz w:val="24"/>
          <w:szCs w:val="24"/>
        </w:rPr>
      </w:pPr>
      <w:r w:rsidRPr="00542C15">
        <w:rPr>
          <w:i/>
          <w:sz w:val="24"/>
        </w:rPr>
        <w:t xml:space="preserve">(Wels, </w:t>
      </w:r>
      <w:r w:rsidR="00F15BA7">
        <w:rPr>
          <w:i/>
          <w:sz w:val="24"/>
        </w:rPr>
        <w:t>24</w:t>
      </w:r>
      <w:r w:rsidRPr="00542C15">
        <w:rPr>
          <w:i/>
          <w:sz w:val="24"/>
        </w:rPr>
        <w:t>.11.2022)</w:t>
      </w:r>
      <w:r w:rsidRPr="00542C15">
        <w:rPr>
          <w:sz w:val="24"/>
        </w:rPr>
        <w:t xml:space="preserve"> Muita coisa está acontecendo em torno da estação de carregamento inteligente da Fronius. O Fronius Wattpilot se apresenta com gerenciamento de carga, mais flexibilidade, maior grau de proteção e ainda mais sustentabilidade. Designed to move.</w:t>
      </w:r>
    </w:p>
    <w:p w14:paraId="2394DF3F" w14:textId="77777777" w:rsidR="003E6855" w:rsidRPr="00542C15" w:rsidRDefault="003E6855" w:rsidP="004114C7">
      <w:pPr>
        <w:jc w:val="both"/>
        <w:rPr>
          <w:sz w:val="20"/>
          <w:szCs w:val="20"/>
        </w:rPr>
      </w:pPr>
    </w:p>
    <w:p w14:paraId="5DC0F779" w14:textId="5D3848BD" w:rsidR="003E6855" w:rsidRPr="00542C15" w:rsidRDefault="00E026C1" w:rsidP="004114C7">
      <w:pPr>
        <w:jc w:val="both"/>
        <w:rPr>
          <w:sz w:val="20"/>
          <w:szCs w:val="20"/>
        </w:rPr>
      </w:pPr>
      <w:r w:rsidRPr="00542C15">
        <w:rPr>
          <w:sz w:val="20"/>
        </w:rPr>
        <w:t xml:space="preserve">A melhoria contínua faz parte da filosofia da Fronius. </w:t>
      </w:r>
      <w:r w:rsidRPr="00542C15">
        <w:rPr>
          <w:i/>
          <w:iCs/>
          <w:sz w:val="20"/>
        </w:rPr>
        <w:t>„Trabalhamos diariamente no desenvolvimento de nossos produtos e soluções. O Fronius Wattpilot é o exemplo mais recente. Os recursos de software mais recentes trazem inúmeras vantagens, tanto para o instalador quanto para o proprietário do sistema fotovoltaico“</w:t>
      </w:r>
      <w:r w:rsidRPr="00542C15">
        <w:rPr>
          <w:sz w:val="20"/>
        </w:rPr>
        <w:t>, explica Martin Hackl, Diretor Global de Vendas e Marketing da Unidade de Negócios Solar Energy da Fronius International GmbH. O valor agregado também desempenha um papel importante: de acordo com a estratégia de sustentabilidade da Fronius, são usados componentes da Europa para evitar longas rotas de transporte.</w:t>
      </w:r>
    </w:p>
    <w:p w14:paraId="60AF471D" w14:textId="77777777" w:rsidR="000C153C" w:rsidRPr="00542C15" w:rsidRDefault="000C153C" w:rsidP="00F15BA7">
      <w:pPr>
        <w:pStyle w:val="berschrift3"/>
        <w:rPr>
          <w:szCs w:val="20"/>
        </w:rPr>
      </w:pPr>
      <w:r w:rsidRPr="00542C15">
        <w:t>Novos recursos para o Fronius Wattpilot</w:t>
      </w:r>
    </w:p>
    <w:p w14:paraId="70733AC7" w14:textId="6A0C9BFB" w:rsidR="00414868" w:rsidRPr="00542C15" w:rsidRDefault="00414868" w:rsidP="004114C7">
      <w:pPr>
        <w:spacing w:after="0" w:line="240" w:lineRule="auto"/>
        <w:jc w:val="both"/>
        <w:rPr>
          <w:sz w:val="20"/>
          <w:szCs w:val="20"/>
        </w:rPr>
      </w:pPr>
      <w:r w:rsidRPr="00542C15">
        <w:rPr>
          <w:sz w:val="20"/>
        </w:rPr>
        <w:t>Uma nova característica é o OCPP (Open charge point protocol). Trata-se de uma interface padronizada para o gerenciamento das estações de carregamento de baterias. Permite a criação de relatórios de carregamento e gerenciamento de carga.</w:t>
      </w:r>
    </w:p>
    <w:p w14:paraId="2B8F8BC8" w14:textId="77777777" w:rsidR="00414868" w:rsidRPr="00542C15" w:rsidRDefault="00414868" w:rsidP="004114C7">
      <w:pPr>
        <w:spacing w:after="0" w:line="240" w:lineRule="auto"/>
        <w:jc w:val="both"/>
        <w:rPr>
          <w:sz w:val="20"/>
          <w:szCs w:val="20"/>
        </w:rPr>
      </w:pPr>
    </w:p>
    <w:p w14:paraId="30CD8A98" w14:textId="10167FC2" w:rsidR="00457B9C" w:rsidRPr="00542C15" w:rsidRDefault="00414868" w:rsidP="004114C7">
      <w:pPr>
        <w:spacing w:after="0" w:line="240" w:lineRule="auto"/>
        <w:jc w:val="both"/>
        <w:rPr>
          <w:sz w:val="20"/>
          <w:szCs w:val="20"/>
        </w:rPr>
      </w:pPr>
      <w:r w:rsidRPr="00542C15">
        <w:rPr>
          <w:sz w:val="20"/>
        </w:rPr>
        <w:t xml:space="preserve">Há também uma boa notícia para quem gosta de ter uma visão geral de todos os fluxos de energia: o Wattpilot já está disponível no Fronius Solar.web. Isso proporciona uma visualização uniforme e a opção de solução de problemas diretamente na ferramenta de monitoramento gratuito. O Wattpilot também recebeu um novo visual. O design moderno da carcaça garante um grau de proteção mais alto de IP55. Além disso, o alcance do WLAN foi aperfeiçoado, aumentando a flexibilidade no local de instalação. </w:t>
      </w:r>
    </w:p>
    <w:p w14:paraId="1F465F27" w14:textId="77777777" w:rsidR="00457B9C" w:rsidRPr="00542C15" w:rsidRDefault="00457B9C" w:rsidP="004114C7">
      <w:pPr>
        <w:spacing w:after="0" w:line="240" w:lineRule="auto"/>
        <w:jc w:val="both"/>
        <w:rPr>
          <w:sz w:val="20"/>
          <w:szCs w:val="20"/>
        </w:rPr>
      </w:pPr>
    </w:p>
    <w:p w14:paraId="7604D22E" w14:textId="06C22905" w:rsidR="00771381" w:rsidRPr="00542C15" w:rsidRDefault="00856D43" w:rsidP="004114C7">
      <w:pPr>
        <w:spacing w:after="0" w:line="240" w:lineRule="auto"/>
        <w:jc w:val="both"/>
        <w:rPr>
          <w:sz w:val="20"/>
          <w:szCs w:val="20"/>
        </w:rPr>
      </w:pPr>
      <w:r w:rsidRPr="00542C15">
        <w:rPr>
          <w:sz w:val="20"/>
        </w:rPr>
        <w:t xml:space="preserve">Todas essas melhorias não só estão disponíveis para as versões existentes, mas também para duas versões adicionais: o Wattpilot Home 22 J e o Wattpilot Go J 22 AUS (para a Austrália). </w:t>
      </w:r>
    </w:p>
    <w:p w14:paraId="12BF2144" w14:textId="77777777" w:rsidR="00E44194" w:rsidRPr="00542C15" w:rsidRDefault="00E44194" w:rsidP="004114C7">
      <w:pPr>
        <w:spacing w:after="0" w:line="240" w:lineRule="auto"/>
        <w:jc w:val="both"/>
        <w:rPr>
          <w:sz w:val="20"/>
          <w:szCs w:val="20"/>
        </w:rPr>
      </w:pPr>
    </w:p>
    <w:p w14:paraId="09084370" w14:textId="0692C841" w:rsidR="00A70142" w:rsidRPr="00542C15" w:rsidRDefault="00AD47F0" w:rsidP="00F15BA7">
      <w:pPr>
        <w:pStyle w:val="berschrift3"/>
        <w:rPr>
          <w:szCs w:val="20"/>
        </w:rPr>
      </w:pPr>
      <w:r w:rsidRPr="00542C15">
        <w:t>Carga com energia otimizada</w:t>
      </w:r>
    </w:p>
    <w:p w14:paraId="3CAD8B69" w14:textId="00DCC187" w:rsidR="00E026C1" w:rsidRPr="00542C15" w:rsidRDefault="00F8214B" w:rsidP="004114C7">
      <w:pPr>
        <w:spacing w:after="0" w:line="240" w:lineRule="auto"/>
        <w:jc w:val="both"/>
        <w:rPr>
          <w:sz w:val="20"/>
          <w:szCs w:val="20"/>
        </w:rPr>
      </w:pPr>
      <w:r w:rsidRPr="00542C15">
        <w:rPr>
          <w:sz w:val="20"/>
        </w:rPr>
        <w:t>Até o final do ano, o chamado Dynamic Load Balancing (balanceamento dinâmico de carga) também estará disponível para todas as estações de carregamento Wattpilot.</w:t>
      </w:r>
      <w:r w:rsidRPr="00542C15">
        <w:rPr>
          <w:sz w:val="20"/>
          <w:vertAlign w:val="superscript"/>
        </w:rPr>
        <w:t>*</w:t>
      </w:r>
      <w:r w:rsidRPr="00542C15">
        <w:rPr>
          <w:sz w:val="20"/>
        </w:rPr>
        <w:t xml:space="preserve"> Os veículos elétricos são normalmente carregados com alta potência. Quando vários veículos elétricos são conectados ao mesmo tempo, o desempenho da conexão máxima conectado da residência é </w:t>
      </w:r>
      <w:r w:rsidRPr="00542C15">
        <w:rPr>
          <w:sz w:val="20"/>
        </w:rPr>
        <w:lastRenderedPageBreak/>
        <w:t>muitas vezes excedido. Com o Dynamic Load Balancing, a corrente é distribuída de modo otimizado. O resultado é uma situação de carregamento seguro sem ter que investir em uma grande e cara infraestrutura de conexão. Com o Dynamic Load Balancing, podem ser carregados até três veículos elétricos simultaneamente e com economia de energia. A energia necessária para isso é distribuída e controlada de forma dinâmica entre os veículos.</w:t>
      </w:r>
    </w:p>
    <w:p w14:paraId="608EF2CE" w14:textId="77777777" w:rsidR="00C505D8" w:rsidRPr="00542C15" w:rsidRDefault="00C505D8" w:rsidP="00C505D8">
      <w:pPr>
        <w:spacing w:after="0" w:line="240" w:lineRule="auto"/>
        <w:jc w:val="both"/>
        <w:rPr>
          <w:sz w:val="20"/>
          <w:szCs w:val="20"/>
        </w:rPr>
      </w:pPr>
      <w:r w:rsidRPr="00542C15">
        <w:rPr>
          <w:sz w:val="20"/>
        </w:rPr>
        <w:t xml:space="preserve">Já um Wattpilot detecta quando a energia de conexão da casa é excedida e reage dando prioridade às cargas na casa (bomba de aquecimento, Ohmpilot, fogão etc.). </w:t>
      </w:r>
    </w:p>
    <w:p w14:paraId="68CA0F70" w14:textId="77777777" w:rsidR="00E026C1" w:rsidRPr="00542C15" w:rsidRDefault="00E026C1" w:rsidP="00F15BA7">
      <w:pPr>
        <w:jc w:val="both"/>
      </w:pPr>
    </w:p>
    <w:p w14:paraId="790DC069" w14:textId="4E1438AF" w:rsidR="00B8257D" w:rsidRPr="00542C15" w:rsidRDefault="007D62A9" w:rsidP="00F15BA7">
      <w:pPr>
        <w:pStyle w:val="berschrift3"/>
        <w:rPr>
          <w:szCs w:val="20"/>
        </w:rPr>
      </w:pPr>
      <w:r w:rsidRPr="00542C15">
        <w:t>Equipe fotovoltaica dos sonhos e mobilidade elétrica</w:t>
      </w:r>
    </w:p>
    <w:p w14:paraId="4AA0C3EB" w14:textId="78CF65CA" w:rsidR="00FD11E6" w:rsidRPr="00542C15" w:rsidRDefault="00FD11E6" w:rsidP="004114C7">
      <w:pPr>
        <w:jc w:val="both"/>
        <w:rPr>
          <w:sz w:val="20"/>
          <w:szCs w:val="20"/>
        </w:rPr>
      </w:pPr>
      <w:r w:rsidRPr="00542C15">
        <w:rPr>
          <w:sz w:val="20"/>
        </w:rPr>
        <w:t xml:space="preserve">Na verdade, a eletromobilidade só faz sentido em combinação com um sistema fotovoltaico. Porque a maneira mais barata de carregar carros elétricos é com corrente fotovoltaica autogerada. Além da corrente verde que também melhora significativamente o equilíbrio ecológico. </w:t>
      </w:r>
    </w:p>
    <w:p w14:paraId="21382306" w14:textId="42DEC2A0" w:rsidR="006747BA" w:rsidRPr="00542C15" w:rsidRDefault="00AD47F0" w:rsidP="00AD47F0">
      <w:pPr>
        <w:jc w:val="both"/>
        <w:rPr>
          <w:sz w:val="16"/>
          <w:szCs w:val="16"/>
        </w:rPr>
      </w:pPr>
      <w:r w:rsidRPr="00542C15">
        <w:rPr>
          <w:sz w:val="16"/>
          <w:vertAlign w:val="superscript"/>
        </w:rPr>
        <w:t>*</w:t>
      </w:r>
      <w:r w:rsidRPr="00542C15">
        <w:rPr>
          <w:sz w:val="16"/>
        </w:rPr>
        <w:t xml:space="preserve"> Este recurso estará disponível no final de 2022 através da atualização do software.</w:t>
      </w:r>
    </w:p>
    <w:p w14:paraId="18AD3FBE" w14:textId="77777777" w:rsidR="00AD47F0" w:rsidRPr="00542C15" w:rsidRDefault="00AD47F0" w:rsidP="004114C7">
      <w:pPr>
        <w:spacing w:before="40" w:after="40"/>
        <w:jc w:val="both"/>
        <w:rPr>
          <w:sz w:val="20"/>
          <w:szCs w:val="20"/>
        </w:rPr>
      </w:pPr>
    </w:p>
    <w:p w14:paraId="39701604" w14:textId="145AA0B6" w:rsidR="0044171E" w:rsidRPr="00542C15" w:rsidRDefault="0044171E" w:rsidP="004114C7">
      <w:pPr>
        <w:spacing w:before="40" w:after="40"/>
        <w:jc w:val="both"/>
        <w:rPr>
          <w:sz w:val="20"/>
          <w:szCs w:val="20"/>
        </w:rPr>
      </w:pPr>
      <w:r w:rsidRPr="00542C15">
        <w:rPr>
          <w:sz w:val="20"/>
        </w:rPr>
        <w:t>Palavras: 4</w:t>
      </w:r>
      <w:r w:rsidR="00F15BA7">
        <w:rPr>
          <w:sz w:val="20"/>
        </w:rPr>
        <w:t>91</w:t>
      </w:r>
    </w:p>
    <w:p w14:paraId="34AE8A3E" w14:textId="17F6B44F" w:rsidR="006747BA" w:rsidRPr="00542C15" w:rsidRDefault="0044171E" w:rsidP="004114C7">
      <w:pPr>
        <w:spacing w:before="40" w:after="40"/>
        <w:jc w:val="both"/>
        <w:rPr>
          <w:sz w:val="20"/>
          <w:szCs w:val="20"/>
        </w:rPr>
      </w:pPr>
      <w:r w:rsidRPr="00542C15">
        <w:rPr>
          <w:sz w:val="20"/>
        </w:rPr>
        <w:t>Caracteres: 3.</w:t>
      </w:r>
      <w:r w:rsidR="00F15BA7">
        <w:rPr>
          <w:sz w:val="20"/>
        </w:rPr>
        <w:t>208</w:t>
      </w:r>
      <w:r w:rsidRPr="00542C15">
        <w:rPr>
          <w:sz w:val="20"/>
        </w:rPr>
        <w:t xml:space="preserve"> (incluindo espaços)</w:t>
      </w:r>
    </w:p>
    <w:p w14:paraId="27EFE6A5" w14:textId="77777777" w:rsidR="0044171E" w:rsidRPr="00542C15" w:rsidRDefault="0044171E" w:rsidP="004114C7">
      <w:pPr>
        <w:jc w:val="both"/>
        <w:rPr>
          <w:sz w:val="20"/>
          <w:szCs w:val="20"/>
        </w:rPr>
      </w:pPr>
    </w:p>
    <w:p w14:paraId="7EC534EB" w14:textId="78A06791" w:rsidR="00B8257D" w:rsidRPr="00542C15" w:rsidRDefault="00B8257D" w:rsidP="004114C7">
      <w:pPr>
        <w:pStyle w:val="berschrift4"/>
        <w:jc w:val="both"/>
        <w:rPr>
          <w:sz w:val="20"/>
          <w:szCs w:val="20"/>
        </w:rPr>
      </w:pPr>
      <w:r w:rsidRPr="00542C15">
        <w:rPr>
          <w:sz w:val="20"/>
        </w:rPr>
        <w:t>Visão geral do material gráfico</w:t>
      </w:r>
    </w:p>
    <w:p w14:paraId="754368C8" w14:textId="73057ADA" w:rsidR="00B8257D" w:rsidRPr="00542C15" w:rsidRDefault="00B8257D" w:rsidP="004114C7">
      <w:pPr>
        <w:jc w:val="both"/>
        <w:rPr>
          <w:sz w:val="20"/>
          <w:szCs w:val="20"/>
        </w:rPr>
      </w:pPr>
    </w:p>
    <w:p w14:paraId="2E19F02C" w14:textId="77777777" w:rsidR="00F15BA7" w:rsidRDefault="00232002" w:rsidP="00232002">
      <w:pPr>
        <w:jc w:val="both"/>
        <w:rPr>
          <w:sz w:val="18"/>
        </w:rPr>
      </w:pPr>
      <w:r w:rsidRPr="00542C15">
        <w:rPr>
          <w:noProof/>
        </w:rPr>
        <w:drawing>
          <wp:inline distT="0" distB="0" distL="0" distR="0" wp14:anchorId="035F2AEC" wp14:editId="44032932">
            <wp:extent cx="2115047" cy="1584073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582" cy="1602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2C15">
        <w:rPr>
          <w:sz w:val="18"/>
        </w:rPr>
        <w:t xml:space="preserve"> </w:t>
      </w:r>
    </w:p>
    <w:p w14:paraId="72D1AEBA" w14:textId="35F90AA3" w:rsidR="00B94D0E" w:rsidRPr="00542C15" w:rsidRDefault="00232002" w:rsidP="00232002">
      <w:pPr>
        <w:jc w:val="both"/>
        <w:rPr>
          <w:sz w:val="18"/>
          <w:szCs w:val="18"/>
        </w:rPr>
      </w:pPr>
      <w:r w:rsidRPr="00542C15">
        <w:rPr>
          <w:sz w:val="16"/>
        </w:rPr>
        <w:t xml:space="preserve">A partir de agora a mobilidade elétrica também está disponível no Fronius Solar web. </w:t>
      </w:r>
    </w:p>
    <w:p w14:paraId="70B48718" w14:textId="585DDB1E" w:rsidR="00B94D0E" w:rsidRPr="00542C15" w:rsidRDefault="00232002" w:rsidP="004114C7">
      <w:pPr>
        <w:pStyle w:val="Listenabsatz"/>
        <w:spacing w:after="0" w:line="240" w:lineRule="auto"/>
        <w:contextualSpacing w:val="0"/>
        <w:jc w:val="both"/>
        <w:rPr>
          <w:rFonts w:eastAsia="Times New Roman"/>
        </w:rPr>
      </w:pPr>
      <w:r w:rsidRPr="00542C15">
        <w:rPr>
          <w:noProof/>
        </w:rPr>
        <w:drawing>
          <wp:anchor distT="0" distB="0" distL="114300" distR="114300" simplePos="0" relativeHeight="251670528" behindDoc="1" locked="0" layoutInCell="1" allowOverlap="1" wp14:anchorId="44BE8099" wp14:editId="6BA563B1">
            <wp:simplePos x="0" y="0"/>
            <wp:positionH relativeFrom="column">
              <wp:posOffset>14467</wp:posOffset>
            </wp:positionH>
            <wp:positionV relativeFrom="paragraph">
              <wp:posOffset>56598</wp:posOffset>
            </wp:positionV>
            <wp:extent cx="1368735" cy="1677726"/>
            <wp:effectExtent l="0" t="0" r="3175" b="0"/>
            <wp:wrapTight wrapText="bothSides">
              <wp:wrapPolygon edited="0">
                <wp:start x="0" y="0"/>
                <wp:lineTo x="0" y="21338"/>
                <wp:lineTo x="21349" y="21338"/>
                <wp:lineTo x="21349" y="0"/>
                <wp:lineTo x="0" y="0"/>
              </wp:wrapPolygon>
            </wp:wrapTight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8735" cy="1677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5FF5D2B" w14:textId="6AC9BCD3" w:rsidR="00B94D0E" w:rsidRPr="00542C15" w:rsidRDefault="00B94D0E" w:rsidP="00232002">
      <w:pPr>
        <w:pStyle w:val="Listenabsatz"/>
        <w:spacing w:after="0" w:line="240" w:lineRule="auto"/>
        <w:contextualSpacing w:val="0"/>
        <w:rPr>
          <w:rFonts w:eastAsia="Times New Roman"/>
        </w:rPr>
      </w:pPr>
    </w:p>
    <w:p w14:paraId="2CA1BF0B" w14:textId="167420AC" w:rsidR="00604BFB" w:rsidRPr="00542C15" w:rsidRDefault="00604BFB" w:rsidP="004114C7">
      <w:pPr>
        <w:jc w:val="both"/>
        <w:rPr>
          <w:sz w:val="18"/>
          <w:szCs w:val="18"/>
        </w:rPr>
      </w:pPr>
    </w:p>
    <w:p w14:paraId="0BB1C467" w14:textId="488932C7" w:rsidR="00604BFB" w:rsidRPr="00542C15" w:rsidRDefault="00604BFB" w:rsidP="004114C7">
      <w:pPr>
        <w:jc w:val="both"/>
        <w:rPr>
          <w:sz w:val="18"/>
          <w:szCs w:val="18"/>
        </w:rPr>
      </w:pPr>
    </w:p>
    <w:p w14:paraId="526DE079" w14:textId="5C49562D" w:rsidR="00B94D0E" w:rsidRPr="00542C15" w:rsidRDefault="00B94D0E" w:rsidP="004114C7">
      <w:pPr>
        <w:jc w:val="both"/>
        <w:rPr>
          <w:sz w:val="18"/>
          <w:szCs w:val="18"/>
        </w:rPr>
      </w:pPr>
    </w:p>
    <w:p w14:paraId="3CCF2A7B" w14:textId="77777777" w:rsidR="00F15BA7" w:rsidRDefault="00F15BA7" w:rsidP="004114C7">
      <w:pPr>
        <w:jc w:val="both"/>
        <w:rPr>
          <w:sz w:val="16"/>
        </w:rPr>
      </w:pPr>
    </w:p>
    <w:p w14:paraId="1EB0212F" w14:textId="77777777" w:rsidR="00F15BA7" w:rsidRDefault="00F15BA7" w:rsidP="004114C7">
      <w:pPr>
        <w:jc w:val="both"/>
        <w:rPr>
          <w:sz w:val="16"/>
        </w:rPr>
      </w:pPr>
    </w:p>
    <w:p w14:paraId="22B53908" w14:textId="77777777" w:rsidR="00F15BA7" w:rsidRDefault="00F15BA7" w:rsidP="004114C7">
      <w:pPr>
        <w:jc w:val="both"/>
        <w:rPr>
          <w:sz w:val="16"/>
        </w:rPr>
      </w:pPr>
    </w:p>
    <w:p w14:paraId="047BDC7C" w14:textId="65F5D33A" w:rsidR="00B94D0E" w:rsidRPr="00542C15" w:rsidRDefault="00B94D0E" w:rsidP="004114C7">
      <w:pPr>
        <w:jc w:val="both"/>
        <w:rPr>
          <w:sz w:val="16"/>
          <w:szCs w:val="16"/>
        </w:rPr>
      </w:pPr>
      <w:r w:rsidRPr="00542C15">
        <w:rPr>
          <w:sz w:val="16"/>
        </w:rPr>
        <w:t>O design moderno da carcaça do Fronius Wattpilot garante um grau de proteção mais alto (IP55).</w:t>
      </w:r>
    </w:p>
    <w:p w14:paraId="276226E2" w14:textId="77777777" w:rsidR="00B94D0E" w:rsidRPr="00542C15" w:rsidRDefault="00B94D0E" w:rsidP="004114C7">
      <w:pPr>
        <w:jc w:val="both"/>
        <w:rPr>
          <w:sz w:val="18"/>
          <w:szCs w:val="18"/>
        </w:rPr>
      </w:pPr>
    </w:p>
    <w:p w14:paraId="0D053E90" w14:textId="28605316" w:rsidR="00E536B5" w:rsidRPr="00542C15" w:rsidRDefault="00FE5AD6" w:rsidP="004114C7">
      <w:pPr>
        <w:jc w:val="both"/>
        <w:rPr>
          <w:noProof/>
          <w:sz w:val="18"/>
          <w:szCs w:val="18"/>
        </w:rPr>
      </w:pPr>
      <w:r w:rsidRPr="00542C15">
        <w:rPr>
          <w:noProof/>
        </w:rPr>
        <w:lastRenderedPageBreak/>
        <w:drawing>
          <wp:anchor distT="0" distB="0" distL="114300" distR="114300" simplePos="0" relativeHeight="251671552" behindDoc="1" locked="0" layoutInCell="1" allowOverlap="1" wp14:anchorId="12602AF7" wp14:editId="6A200C46">
            <wp:simplePos x="0" y="0"/>
            <wp:positionH relativeFrom="column">
              <wp:posOffset>-1298</wp:posOffset>
            </wp:positionH>
            <wp:positionV relativeFrom="paragraph">
              <wp:posOffset>883</wp:posOffset>
            </wp:positionV>
            <wp:extent cx="2027583" cy="1519569"/>
            <wp:effectExtent l="0" t="0" r="0" b="4445"/>
            <wp:wrapTight wrapText="bothSides">
              <wp:wrapPolygon edited="0">
                <wp:start x="0" y="0"/>
                <wp:lineTo x="0" y="21392"/>
                <wp:lineTo x="21309" y="21392"/>
                <wp:lineTo x="21309" y="0"/>
                <wp:lineTo x="0" y="0"/>
              </wp:wrapPolygon>
            </wp:wrapTight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7583" cy="15195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4E1C903" w14:textId="77777777" w:rsidR="00E536B5" w:rsidRPr="00542C15" w:rsidRDefault="00E536B5" w:rsidP="004114C7">
      <w:pPr>
        <w:jc w:val="both"/>
        <w:rPr>
          <w:noProof/>
          <w:sz w:val="18"/>
          <w:szCs w:val="18"/>
        </w:rPr>
      </w:pPr>
    </w:p>
    <w:p w14:paraId="4A1D9969" w14:textId="07F7F900" w:rsidR="00E536B5" w:rsidRPr="00542C15" w:rsidRDefault="00E536B5" w:rsidP="004114C7">
      <w:pPr>
        <w:jc w:val="both"/>
        <w:rPr>
          <w:noProof/>
          <w:sz w:val="18"/>
          <w:szCs w:val="18"/>
        </w:rPr>
      </w:pPr>
    </w:p>
    <w:p w14:paraId="66E76011" w14:textId="0F0D9D3B" w:rsidR="00E536B5" w:rsidRPr="00542C15" w:rsidRDefault="00E536B5" w:rsidP="004114C7">
      <w:pPr>
        <w:jc w:val="both"/>
        <w:rPr>
          <w:noProof/>
          <w:sz w:val="18"/>
          <w:szCs w:val="18"/>
        </w:rPr>
      </w:pPr>
    </w:p>
    <w:p w14:paraId="2EF4EB13" w14:textId="77777777" w:rsidR="00E536B5" w:rsidRPr="00542C15" w:rsidRDefault="00E536B5" w:rsidP="004114C7">
      <w:pPr>
        <w:jc w:val="both"/>
        <w:rPr>
          <w:noProof/>
          <w:sz w:val="18"/>
          <w:szCs w:val="18"/>
        </w:rPr>
      </w:pPr>
    </w:p>
    <w:p w14:paraId="11EA0D6E" w14:textId="77777777" w:rsidR="00F15BA7" w:rsidRDefault="00F15BA7" w:rsidP="004114C7">
      <w:pPr>
        <w:jc w:val="both"/>
        <w:rPr>
          <w:sz w:val="16"/>
        </w:rPr>
      </w:pPr>
    </w:p>
    <w:p w14:paraId="6A2D5607" w14:textId="1D599D08" w:rsidR="002F207D" w:rsidRPr="00542C15" w:rsidRDefault="007D62A9" w:rsidP="004114C7">
      <w:pPr>
        <w:jc w:val="both"/>
        <w:rPr>
          <w:sz w:val="18"/>
          <w:szCs w:val="18"/>
        </w:rPr>
      </w:pPr>
      <w:r w:rsidRPr="00542C15">
        <w:rPr>
          <w:sz w:val="16"/>
        </w:rPr>
        <w:t>Equipe fotovoltaica dos sonhos e mobilidade elétrica.</w:t>
      </w:r>
    </w:p>
    <w:p w14:paraId="0AD63EC5" w14:textId="77777777" w:rsidR="00D05566" w:rsidRPr="00542C15" w:rsidRDefault="00D05566" w:rsidP="004114C7">
      <w:pPr>
        <w:jc w:val="both"/>
        <w:rPr>
          <w:i/>
          <w:iCs/>
          <w:sz w:val="18"/>
          <w:szCs w:val="18"/>
        </w:rPr>
      </w:pPr>
    </w:p>
    <w:p w14:paraId="678B5CFF" w14:textId="4880A8BD" w:rsidR="00B8257D" w:rsidRPr="00542C15" w:rsidRDefault="00B25C3B" w:rsidP="004114C7">
      <w:pPr>
        <w:jc w:val="both"/>
        <w:rPr>
          <w:i/>
          <w:iCs/>
          <w:sz w:val="18"/>
          <w:szCs w:val="18"/>
        </w:rPr>
      </w:pPr>
      <w:r w:rsidRPr="00542C15">
        <w:rPr>
          <w:i/>
          <w:sz w:val="18"/>
        </w:rPr>
        <w:t>Direitos de imagem: Fronius International GmbH, impressão gratuita</w:t>
      </w:r>
    </w:p>
    <w:p w14:paraId="0C1181E0" w14:textId="77777777" w:rsidR="008C5190" w:rsidRPr="00542C15" w:rsidRDefault="008C5190" w:rsidP="004114C7">
      <w:pPr>
        <w:jc w:val="both"/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35D157E3" w14:textId="4DE4010E" w:rsidR="00EC6E68" w:rsidRPr="00542C15" w:rsidRDefault="0015484D" w:rsidP="004114C7">
      <w:pPr>
        <w:pStyle w:val="berschrift4"/>
        <w:jc w:val="both"/>
        <w:rPr>
          <w:sz w:val="20"/>
          <w:szCs w:val="20"/>
        </w:rPr>
      </w:pPr>
      <w:r w:rsidRPr="00542C15">
        <w:rPr>
          <w:sz w:val="20"/>
        </w:rPr>
        <w:t>Unidade de Negócios Solar Energy</w:t>
      </w:r>
    </w:p>
    <w:p w14:paraId="5F3913DA" w14:textId="71F63AB1" w:rsidR="001B4713" w:rsidRPr="00542C15" w:rsidRDefault="00D61309" w:rsidP="004114C7">
      <w:pPr>
        <w:jc w:val="both"/>
        <w:rPr>
          <w:sz w:val="20"/>
          <w:szCs w:val="20"/>
        </w:rPr>
      </w:pPr>
      <w:r w:rsidRPr="00542C15">
        <w:rPr>
          <w:sz w:val="20"/>
        </w:rPr>
        <w:t>Fundada em 1992, a Unidade de Negócio Solar Energy da Fronius comemora neste ano seu 30º aniversário. Sob o lema „Energize your life.“ desenvolvemos soluções inovadoras que permitem que a energia solar seja gerada, armazenada, distribuída e consumida de forma rentável e inteligente. A Fronius Solar Energy possibilita o uso das 24 horas de sol por dia, abrindo caminho para um futuro que vale a pena viver, no qual as energias renováveis ​cobrem 100% das necessidades energéticas do mundo. Nossas soluções são desenvolvidas de modo sustentável e produzidas inteiramente na Europa, principalmente na Áustria. A Fronius Solar Energy possui 26 filiais em todo o mundo e pode contar com uma produção total de mais de 25 gigawatts de inversores instalados até o momento. As vendas são realizadas por uma rede de competência global de distribuidores de instalação, serviços e vendas.</w:t>
      </w:r>
    </w:p>
    <w:p w14:paraId="00AB6915" w14:textId="77777777" w:rsidR="00BB6194" w:rsidRPr="00542C15" w:rsidRDefault="00BB6194" w:rsidP="004114C7">
      <w:pPr>
        <w:spacing w:after="0" w:line="240" w:lineRule="auto"/>
        <w:jc w:val="both"/>
        <w:rPr>
          <w:b/>
          <w:bCs/>
          <w:sz w:val="20"/>
          <w:szCs w:val="20"/>
        </w:rPr>
      </w:pPr>
      <w:bookmarkStart w:id="0" w:name="_Hlk107480427"/>
      <w:r w:rsidRPr="00542C15">
        <w:rPr>
          <w:b/>
          <w:sz w:val="20"/>
        </w:rPr>
        <w:t>Somos a Fronius.</w:t>
      </w:r>
    </w:p>
    <w:bookmarkEnd w:id="0"/>
    <w:p w14:paraId="4AEAEE72" w14:textId="77777777" w:rsidR="00BB6194" w:rsidRPr="00542C15" w:rsidRDefault="00BB6194" w:rsidP="004114C7">
      <w:pPr>
        <w:spacing w:after="0" w:line="240" w:lineRule="auto"/>
        <w:jc w:val="both"/>
        <w:rPr>
          <w:sz w:val="20"/>
          <w:szCs w:val="20"/>
        </w:rPr>
      </w:pPr>
      <w:r w:rsidRPr="00542C15">
        <w:rPr>
          <w:sz w:val="20"/>
        </w:rPr>
        <w:t>Mais de 6.100 funcionários em todo o mundo, uma participação atual de exportação de 89% e 1.366 patentes ativas: este somos nós, a Fronius. Fundada em 1945 como uma operação regional de um homem só, agora somos um dos players globais, como demonstrado de modo impressionante por nossas 37 subsidiárias internacionais e nossa rede de distribuidores em mais de 60 países. No entanto, em nosso núcleo, ainda somos uma empresa familiar da Áustria, ativa em tecnologia fotovoltaica, soldagem e carregamento de baterias. Sempre desenvolvemos produtos e soluções para um futuro habitável, oferecendo a nossos clientes um pacote completo: desde o planejamento preliminar e consultoria até o monitoramento contínuo e um serviço de reparo sob medida para suas necessidades. Somos inovadores. Somos curiosos. Somos a Fronius.</w:t>
      </w:r>
    </w:p>
    <w:p w14:paraId="66177D9A" w14:textId="2E3A5D74" w:rsidR="00EC6E68" w:rsidRPr="00542C15" w:rsidRDefault="00EC6E68" w:rsidP="004114C7">
      <w:pPr>
        <w:jc w:val="both"/>
        <w:rPr>
          <w:sz w:val="20"/>
          <w:szCs w:val="20"/>
        </w:rPr>
      </w:pPr>
    </w:p>
    <w:p w14:paraId="7B25C2B2" w14:textId="77777777" w:rsidR="00F15BA7" w:rsidRPr="002F207D" w:rsidRDefault="00F15BA7" w:rsidP="00F15BA7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Informação de contacto</w:t>
      </w:r>
    </w:p>
    <w:p w14:paraId="72AB20CB" w14:textId="77777777" w:rsidR="00F15BA7" w:rsidRDefault="00F15BA7" w:rsidP="00F15BA7">
      <w:pPr>
        <w:rPr>
          <w:sz w:val="20"/>
        </w:rPr>
      </w:pPr>
      <w:r>
        <w:rPr>
          <w:sz w:val="20"/>
        </w:rPr>
        <w:t>Fronius International GmbH, Mag. Andrea SCHARTNER,</w:t>
      </w:r>
      <w:r>
        <w:rPr>
          <w:sz w:val="20"/>
        </w:rPr>
        <w:br/>
        <w:t xml:space="preserve">+43 664 88536765, </w:t>
      </w:r>
      <w:hyperlink r:id="rId10" w:history="1">
        <w:r>
          <w:rPr>
            <w:rStyle w:val="Hyperlink"/>
            <w:sz w:val="20"/>
          </w:rPr>
          <w:t>schartner.andrea@fronius.com</w:t>
        </w:r>
      </w:hyperlink>
      <w:r>
        <w:rPr>
          <w:sz w:val="20"/>
        </w:rPr>
        <w:t>,</w:t>
      </w:r>
      <w:r>
        <w:rPr>
          <w:sz w:val="20"/>
        </w:rPr>
        <w:br/>
        <w:t>Froniusplatz 1, 4600 Wels, Áustria</w:t>
      </w:r>
    </w:p>
    <w:p w14:paraId="2A160EF2" w14:textId="77777777" w:rsidR="00F15BA7" w:rsidRPr="00707AA6" w:rsidRDefault="00F15BA7" w:rsidP="00F15BA7">
      <w:pPr>
        <w:rPr>
          <w:sz w:val="20"/>
        </w:rPr>
      </w:pPr>
      <w:r w:rsidRPr="00707AA6">
        <w:rPr>
          <w:sz w:val="20"/>
        </w:rPr>
        <w:t xml:space="preserve">Laura GONZALEZ, +34 91 649 60 40, </w:t>
      </w:r>
      <w:hyperlink r:id="rId11" w:history="1">
        <w:r w:rsidRPr="00707AA6">
          <w:rPr>
            <w:rStyle w:val="Hyperlink"/>
            <w:sz w:val="20"/>
            <w:szCs w:val="18"/>
          </w:rPr>
          <w:t>gonzalez.laura@fronius.com</w:t>
        </w:r>
      </w:hyperlink>
      <w:r w:rsidRPr="00707AA6">
        <w:rPr>
          <w:rStyle w:val="Hyperlink"/>
          <w:sz w:val="20"/>
          <w:szCs w:val="18"/>
        </w:rPr>
        <w:t>,</w:t>
      </w:r>
      <w:r w:rsidRPr="00707AA6">
        <w:rPr>
          <w:sz w:val="20"/>
        </w:rPr>
        <w:t xml:space="preserve"> Calle Arroyo del Soto n° 17, 28914 – Leganés, Espanha.</w:t>
      </w:r>
    </w:p>
    <w:p w14:paraId="2B4835DA" w14:textId="77777777" w:rsidR="00F15BA7" w:rsidRDefault="00F15BA7" w:rsidP="00F15BA7">
      <w:pPr>
        <w:rPr>
          <w:sz w:val="20"/>
        </w:rPr>
      </w:pPr>
      <w:r w:rsidRPr="00707AA6">
        <w:rPr>
          <w:sz w:val="20"/>
        </w:rPr>
        <w:t xml:space="preserve">Thais BITENCOURT, +55 11 3563-3803, </w:t>
      </w:r>
      <w:hyperlink r:id="rId12" w:history="1">
        <w:r w:rsidRPr="00707AA6">
          <w:rPr>
            <w:rStyle w:val="Hyperlink"/>
            <w:sz w:val="20"/>
            <w:szCs w:val="20"/>
          </w:rPr>
          <w:t>bitencourt.thais@fronius.com</w:t>
        </w:r>
      </w:hyperlink>
      <w:r w:rsidRPr="00707AA6">
        <w:rPr>
          <w:sz w:val="20"/>
        </w:rPr>
        <w:t>, R. José Martins Fernandes, 601 Batistini,  CEP: 09840-260, São Bernardo do Campo – SP, Brasil</w:t>
      </w:r>
    </w:p>
    <w:p w14:paraId="0C46C12B" w14:textId="77777777" w:rsidR="00F15BA7" w:rsidRPr="00707AA6" w:rsidRDefault="00F15BA7" w:rsidP="00F15BA7">
      <w:pPr>
        <w:rPr>
          <w:sz w:val="20"/>
        </w:rPr>
      </w:pPr>
    </w:p>
    <w:p w14:paraId="116D415A" w14:textId="77777777" w:rsidR="00F15BA7" w:rsidRDefault="00F15BA7" w:rsidP="00F15BA7">
      <w:pPr>
        <w:spacing w:before="40" w:after="40" w:line="240" w:lineRule="auto"/>
        <w:rPr>
          <w:rStyle w:val="Hyperlink"/>
          <w:sz w:val="20"/>
          <w:szCs w:val="20"/>
        </w:rPr>
      </w:pPr>
      <w:r>
        <w:rPr>
          <w:color w:val="000000" w:themeColor="text1"/>
          <w:sz w:val="20"/>
          <w:u w:val="single"/>
        </w:rPr>
        <w:lastRenderedPageBreak/>
        <w:t>Exemplar de amostra</w:t>
      </w:r>
      <w:r>
        <w:rPr>
          <w:color w:val="000000" w:themeColor="text1"/>
          <w:sz w:val="20"/>
          <w:u w:val="single"/>
        </w:rPr>
        <w:br/>
      </w:r>
      <w:r>
        <w:rPr>
          <w:sz w:val="20"/>
        </w:rPr>
        <w:t>a1kommunikation Schweizer GmbH, Rüdiger KEMPA,</w:t>
      </w:r>
      <w:r>
        <w:rPr>
          <w:sz w:val="20"/>
        </w:rPr>
        <w:br/>
      </w:r>
      <w:hyperlink r:id="rId13" w:history="1">
        <w:r>
          <w:rPr>
            <w:rStyle w:val="Hyperlink"/>
            <w:sz w:val="20"/>
          </w:rPr>
          <w:t>rke@a1kommunikation.de</w:t>
        </w:r>
      </w:hyperlink>
    </w:p>
    <w:p w14:paraId="2770CC0D" w14:textId="77777777" w:rsidR="00F15BA7" w:rsidRPr="00C52F19" w:rsidRDefault="00F15BA7" w:rsidP="00F15BA7">
      <w:pPr>
        <w:spacing w:before="40" w:after="40" w:line="240" w:lineRule="auto"/>
        <w:rPr>
          <w:color w:val="0563C1" w:themeColor="hyperlink"/>
          <w:sz w:val="20"/>
          <w:szCs w:val="20"/>
          <w:u w:val="single"/>
        </w:rPr>
      </w:pPr>
      <w:r>
        <w:rPr>
          <w:sz w:val="20"/>
        </w:rPr>
        <w:t>Oberdorfstraße 31A, 70794 Filderstadt, Alemanha</w:t>
      </w:r>
    </w:p>
    <w:p w14:paraId="2D50C499" w14:textId="77777777" w:rsidR="00F15BA7" w:rsidRDefault="00F15BA7" w:rsidP="00F15BA7">
      <w:pPr>
        <w:jc w:val="both"/>
        <w:rPr>
          <w:sz w:val="16"/>
          <w:szCs w:val="16"/>
        </w:rPr>
      </w:pPr>
    </w:p>
    <w:p w14:paraId="0E92EC10" w14:textId="77777777" w:rsidR="00F15BA7" w:rsidRPr="00604BFB" w:rsidRDefault="00F15BA7" w:rsidP="00F15BA7">
      <w:pPr>
        <w:jc w:val="both"/>
        <w:rPr>
          <w:sz w:val="16"/>
          <w:szCs w:val="16"/>
        </w:rPr>
      </w:pPr>
      <w:r>
        <w:rPr>
          <w:sz w:val="16"/>
        </w:rPr>
        <w:t xml:space="preserve">Se já não deseja receber comunicados de imprensa da Fronius International (Business Unit Solar Energy), responda com UNSUBSCRIBE para o endereço de correio eletrónico </w:t>
      </w:r>
      <w:hyperlink r:id="rId14" w:history="1">
        <w:r>
          <w:rPr>
            <w:rStyle w:val="Hyperlink"/>
            <w:sz w:val="16"/>
          </w:rPr>
          <w:t>cancellation@fronius.com</w:t>
        </w:r>
      </w:hyperlink>
      <w:r>
        <w:rPr>
          <w:sz w:val="16"/>
        </w:rPr>
        <w:t>.</w:t>
      </w:r>
    </w:p>
    <w:p w14:paraId="790215F6" w14:textId="4ECF20AF" w:rsidR="00670F02" w:rsidRPr="00542C15" w:rsidRDefault="00670F02" w:rsidP="00F15BA7">
      <w:pPr>
        <w:pStyle w:val="berschrift4"/>
        <w:jc w:val="both"/>
        <w:rPr>
          <w:sz w:val="16"/>
          <w:szCs w:val="16"/>
        </w:rPr>
      </w:pPr>
    </w:p>
    <w:sectPr w:rsidR="00670F02" w:rsidRPr="00542C15">
      <w:headerReference w:type="default" r:id="rId15"/>
      <w:footerReference w:type="default" r:id="rId1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04FEA0" w14:textId="77777777" w:rsidR="00ED5549" w:rsidRDefault="00ED5549" w:rsidP="00B54547">
      <w:pPr>
        <w:spacing w:after="0" w:line="240" w:lineRule="auto"/>
      </w:pPr>
      <w:r>
        <w:separator/>
      </w:r>
    </w:p>
  </w:endnote>
  <w:endnote w:type="continuationSeparator" w:id="0">
    <w:p w14:paraId="74AE2CEA" w14:textId="77777777" w:rsidR="00ED5549" w:rsidRDefault="00ED5549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E754B" w14:textId="77777777" w:rsidR="00B54547" w:rsidRDefault="00B54547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7C6CB22" wp14:editId="1D581076">
              <wp:simplePos x="0" y="0"/>
              <wp:positionH relativeFrom="margin">
                <wp:posOffset>-97155</wp:posOffset>
              </wp:positionH>
              <wp:positionV relativeFrom="page">
                <wp:posOffset>10050145</wp:posOffset>
              </wp:positionV>
              <wp:extent cx="6142355" cy="222885"/>
              <wp:effectExtent l="0" t="0" r="0" b="5715"/>
              <wp:wrapNone/>
              <wp:docPr id="212" name="Textfeld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42355" cy="2228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C90CC76" w14:textId="3B5A419D" w:rsidR="00B54547" w:rsidRPr="003D4817" w:rsidRDefault="00B54547" w:rsidP="00B54547">
                          <w:pPr>
                            <w:spacing w:after="0" w:line="293" w:lineRule="auto"/>
                            <w:rPr>
                              <w:rFonts w:cs="Noto Sans"/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</w:rPr>
                            <w:t>Classificação de Informação: Pública</w:t>
                          </w:r>
                        </w:p>
                        <w:p w14:paraId="4A0087EF" w14:textId="77777777" w:rsidR="00B54547" w:rsidRPr="003D4817" w:rsidRDefault="00B54547" w:rsidP="00B5454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6CB22" id="_x0000_t202" coordsize="21600,21600" o:spt="202" path="m,l,21600r21600,l21600,xe">
              <v:stroke joinstyle="miter"/>
              <v:path gradientshapeok="t" o:connecttype="rect"/>
            </v:shapetype>
            <v:shape id="Textfeld 212" o:spid="_x0000_s1026" type="#_x0000_t202" style="position:absolute;margin-left:-7.65pt;margin-top:791.35pt;width:483.65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" filled="f" stroked="f" strokeweight=".5pt">
              <v:textbox>
                <w:txbxContent>
                  <w:p w14:paraId="2C90CC76" w14:textId="3B5A419D" w:rsidR="00B54547" w:rsidRPr="003D4817" w:rsidRDefault="00B54547" w:rsidP="00B54547">
                    <w:pPr>
                      <w:spacing w:after="0" w:line="293" w:lineRule="auto"/>
                      <w:rPr>
                        <w:rFonts w:cs="Noto Sans"/>
                        <w:sz w:val="12"/>
                        <w:szCs w:val="12"/>
                      </w:rPr>
                    </w:pPr>
                    <w:r>
                      <w:rPr>
                        <w:sz w:val="12"/>
                      </w:rPr>
                      <w:t>Classificação de Informação: Pública</w:t>
                    </w:r>
                  </w:p>
                  <w:p w14:paraId="4A0087EF" w14:textId="77777777" w:rsidR="00B54547" w:rsidRPr="003D4817" w:rsidRDefault="00B54547" w:rsidP="00B54547">
                    <w:pPr>
                      <w:rPr>
                        <w:lang w:val="en-US"/>
                      </w:rPr>
                    </w:pP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1171AE" w14:textId="77777777" w:rsidR="00ED5549" w:rsidRDefault="00ED5549" w:rsidP="00B54547">
      <w:pPr>
        <w:spacing w:after="0" w:line="240" w:lineRule="auto"/>
      </w:pPr>
      <w:r>
        <w:separator/>
      </w:r>
    </w:p>
  </w:footnote>
  <w:footnote w:type="continuationSeparator" w:id="0">
    <w:p w14:paraId="5FA4722F" w14:textId="77777777" w:rsidR="00ED5549" w:rsidRDefault="00ED5549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3FFC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5FC2FB44" wp14:editId="562E42D5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0C6AF4"/>
    <w:multiLevelType w:val="hybridMultilevel"/>
    <w:tmpl w:val="E0E8BBBA"/>
    <w:lvl w:ilvl="0" w:tplc="28EAFDE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6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7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8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927CD8"/>
    <w:multiLevelType w:val="hybridMultilevel"/>
    <w:tmpl w:val="8034AAEA"/>
    <w:lvl w:ilvl="0" w:tplc="0C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CCC0A19"/>
    <w:multiLevelType w:val="hybridMultilevel"/>
    <w:tmpl w:val="2904DE92"/>
    <w:lvl w:ilvl="0" w:tplc="27263A0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6335ACA"/>
    <w:multiLevelType w:val="hybridMultilevel"/>
    <w:tmpl w:val="C36ECEF4"/>
    <w:lvl w:ilvl="0" w:tplc="BC94340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986809">
    <w:abstractNumId w:val="8"/>
  </w:num>
  <w:num w:numId="2" w16cid:durableId="20741609">
    <w:abstractNumId w:val="0"/>
  </w:num>
  <w:num w:numId="3" w16cid:durableId="1189872239">
    <w:abstractNumId w:val="5"/>
  </w:num>
  <w:num w:numId="4" w16cid:durableId="1547373761">
    <w:abstractNumId w:val="7"/>
  </w:num>
  <w:num w:numId="5" w16cid:durableId="2110468141">
    <w:abstractNumId w:val="6"/>
  </w:num>
  <w:num w:numId="6" w16cid:durableId="1034384457">
    <w:abstractNumId w:val="1"/>
  </w:num>
  <w:num w:numId="7" w16cid:durableId="191187278">
    <w:abstractNumId w:val="4"/>
  </w:num>
  <w:num w:numId="8" w16cid:durableId="986014788">
    <w:abstractNumId w:val="3"/>
  </w:num>
  <w:num w:numId="9" w16cid:durableId="1934627045">
    <w:abstractNumId w:val="9"/>
  </w:num>
  <w:num w:numId="10" w16cid:durableId="98181291">
    <w:abstractNumId w:val="2"/>
  </w:num>
  <w:num w:numId="11" w16cid:durableId="2002657185">
    <w:abstractNumId w:val="10"/>
  </w:num>
  <w:num w:numId="12" w16cid:durableId="674766699">
    <w:abstractNumId w:val="2"/>
  </w:num>
  <w:num w:numId="13" w16cid:durableId="16235968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549"/>
    <w:rsid w:val="0001297E"/>
    <w:rsid w:val="00030C3B"/>
    <w:rsid w:val="000C153C"/>
    <w:rsid w:val="00102F0B"/>
    <w:rsid w:val="00142922"/>
    <w:rsid w:val="0015484D"/>
    <w:rsid w:val="001668E3"/>
    <w:rsid w:val="00186A01"/>
    <w:rsid w:val="00196F99"/>
    <w:rsid w:val="001A34C4"/>
    <w:rsid w:val="001B4713"/>
    <w:rsid w:val="00202BA1"/>
    <w:rsid w:val="00232002"/>
    <w:rsid w:val="0024308B"/>
    <w:rsid w:val="00266853"/>
    <w:rsid w:val="00282219"/>
    <w:rsid w:val="002D1A31"/>
    <w:rsid w:val="002D7A44"/>
    <w:rsid w:val="002E4785"/>
    <w:rsid w:val="002E5990"/>
    <w:rsid w:val="002F207D"/>
    <w:rsid w:val="00322E3F"/>
    <w:rsid w:val="003405C8"/>
    <w:rsid w:val="003E01EF"/>
    <w:rsid w:val="003E6855"/>
    <w:rsid w:val="00403C78"/>
    <w:rsid w:val="004114C7"/>
    <w:rsid w:val="00414868"/>
    <w:rsid w:val="00424297"/>
    <w:rsid w:val="00432D24"/>
    <w:rsid w:val="0044171E"/>
    <w:rsid w:val="004420B7"/>
    <w:rsid w:val="00451F65"/>
    <w:rsid w:val="00455012"/>
    <w:rsid w:val="00455E69"/>
    <w:rsid w:val="00457B9C"/>
    <w:rsid w:val="00470A9D"/>
    <w:rsid w:val="004C4217"/>
    <w:rsid w:val="004C4BB8"/>
    <w:rsid w:val="0051114E"/>
    <w:rsid w:val="00512C4C"/>
    <w:rsid w:val="00516171"/>
    <w:rsid w:val="00542C15"/>
    <w:rsid w:val="00582BF5"/>
    <w:rsid w:val="005A26BF"/>
    <w:rsid w:val="005C64F3"/>
    <w:rsid w:val="00604BFB"/>
    <w:rsid w:val="00651247"/>
    <w:rsid w:val="00670F02"/>
    <w:rsid w:val="006747BA"/>
    <w:rsid w:val="00683D0B"/>
    <w:rsid w:val="00697CB0"/>
    <w:rsid w:val="006D090B"/>
    <w:rsid w:val="006D12A4"/>
    <w:rsid w:val="006D2AEF"/>
    <w:rsid w:val="006D6430"/>
    <w:rsid w:val="0070153C"/>
    <w:rsid w:val="00702F8C"/>
    <w:rsid w:val="00703F47"/>
    <w:rsid w:val="00716094"/>
    <w:rsid w:val="00730C60"/>
    <w:rsid w:val="00771381"/>
    <w:rsid w:val="00776FD4"/>
    <w:rsid w:val="00790E0A"/>
    <w:rsid w:val="007A3B74"/>
    <w:rsid w:val="007A57E3"/>
    <w:rsid w:val="007C61B7"/>
    <w:rsid w:val="007D62A9"/>
    <w:rsid w:val="007F7C1B"/>
    <w:rsid w:val="007F7DF6"/>
    <w:rsid w:val="00816914"/>
    <w:rsid w:val="00831633"/>
    <w:rsid w:val="008404EE"/>
    <w:rsid w:val="00856D43"/>
    <w:rsid w:val="008C5190"/>
    <w:rsid w:val="008D7983"/>
    <w:rsid w:val="008E1774"/>
    <w:rsid w:val="008F4ED5"/>
    <w:rsid w:val="00906679"/>
    <w:rsid w:val="00910F60"/>
    <w:rsid w:val="00962B6D"/>
    <w:rsid w:val="00963BB4"/>
    <w:rsid w:val="00987A0F"/>
    <w:rsid w:val="009D0E41"/>
    <w:rsid w:val="00A160E0"/>
    <w:rsid w:val="00A66F74"/>
    <w:rsid w:val="00A67364"/>
    <w:rsid w:val="00A70142"/>
    <w:rsid w:val="00A8475B"/>
    <w:rsid w:val="00A91E1C"/>
    <w:rsid w:val="00AD47F0"/>
    <w:rsid w:val="00AE7975"/>
    <w:rsid w:val="00AF5F74"/>
    <w:rsid w:val="00B20598"/>
    <w:rsid w:val="00B25C3B"/>
    <w:rsid w:val="00B309A8"/>
    <w:rsid w:val="00B521D7"/>
    <w:rsid w:val="00B52F2E"/>
    <w:rsid w:val="00B54547"/>
    <w:rsid w:val="00B57CCE"/>
    <w:rsid w:val="00B8257D"/>
    <w:rsid w:val="00B93262"/>
    <w:rsid w:val="00B9391E"/>
    <w:rsid w:val="00B94D0E"/>
    <w:rsid w:val="00BA1797"/>
    <w:rsid w:val="00BB6194"/>
    <w:rsid w:val="00BC255A"/>
    <w:rsid w:val="00C17BEE"/>
    <w:rsid w:val="00C23813"/>
    <w:rsid w:val="00C44B9C"/>
    <w:rsid w:val="00C505D8"/>
    <w:rsid w:val="00C909FA"/>
    <w:rsid w:val="00C921A2"/>
    <w:rsid w:val="00CA56AD"/>
    <w:rsid w:val="00CB1448"/>
    <w:rsid w:val="00CC0612"/>
    <w:rsid w:val="00D0522E"/>
    <w:rsid w:val="00D05566"/>
    <w:rsid w:val="00D60F80"/>
    <w:rsid w:val="00D61309"/>
    <w:rsid w:val="00D77E57"/>
    <w:rsid w:val="00DA0502"/>
    <w:rsid w:val="00DE0BD2"/>
    <w:rsid w:val="00DE201A"/>
    <w:rsid w:val="00DF5290"/>
    <w:rsid w:val="00E026C1"/>
    <w:rsid w:val="00E319B3"/>
    <w:rsid w:val="00E44194"/>
    <w:rsid w:val="00E536B5"/>
    <w:rsid w:val="00E701CE"/>
    <w:rsid w:val="00E83DD7"/>
    <w:rsid w:val="00E9591C"/>
    <w:rsid w:val="00EA26EC"/>
    <w:rsid w:val="00EC6E68"/>
    <w:rsid w:val="00ED5549"/>
    <w:rsid w:val="00EF7C18"/>
    <w:rsid w:val="00F0695A"/>
    <w:rsid w:val="00F15BA7"/>
    <w:rsid w:val="00F47C27"/>
    <w:rsid w:val="00F74106"/>
    <w:rsid w:val="00F8214B"/>
    <w:rsid w:val="00FD0EE7"/>
    <w:rsid w:val="00FD11E6"/>
    <w:rsid w:val="00FD50E0"/>
    <w:rsid w:val="00FE3F42"/>
    <w:rsid w:val="00FE5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  <w14:docId w14:val="44FC8BC6"/>
  <w15:chartTrackingRefBased/>
  <w15:docId w15:val="{5066E15E-C143-4638-AA7D-5071D9CB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D7A44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pt-BR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pt-BR"/>
    </w:rPr>
  </w:style>
  <w:style w:type="character" w:styleId="Hyperlink">
    <w:name w:val="Hyperlink"/>
    <w:basedOn w:val="Absatz-Standardschriftart"/>
    <w:uiPriority w:val="99"/>
    <w:unhideWhenUsed/>
    <w:rsid w:val="00EC6E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6E68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E01E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E01E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E01EF"/>
    <w:rPr>
      <w:rFonts w:ascii="Noto Sans" w:hAnsi="Noto Sans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E01E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E01EF"/>
    <w:rPr>
      <w:rFonts w:ascii="Noto Sans" w:hAnsi="Noto Sans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F47C27"/>
    <w:pPr>
      <w:spacing w:after="0" w:line="240" w:lineRule="auto"/>
    </w:pPr>
    <w:rPr>
      <w:rFonts w:ascii="Noto Sans" w:hAnsi="Noto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008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mailto:rke@a1kommunikation.de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customXml" Target="../customXml/item3.xml"/><Relationship Id="rId7" Type="http://schemas.openxmlformats.org/officeDocument/2006/relationships/image" Target="media/image1.jpeg"/><Relationship Id="rId12" Type="http://schemas.openxmlformats.org/officeDocument/2006/relationships/hyperlink" Target="mailto:bitencourt.thais@fronius.com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gonzalez.laura@fronius.com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23" Type="http://schemas.openxmlformats.org/officeDocument/2006/relationships/customXml" Target="../customXml/item5.xml"/><Relationship Id="rId10" Type="http://schemas.openxmlformats.org/officeDocument/2006/relationships/hyperlink" Target="mailto:schartner.andrea@fronius.com" TargetMode="External"/><Relationship Id="rId19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mailto:cancellation@fronius.com" TargetMode="External"/><Relationship Id="rId22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3e123716-e57e-43df-bff4-d192656f6566" ContentTypeId="0x01" PreviousValue="false"/>
</file>

<file path=customXml/item3.xml><?xml version="1.0" encoding="utf-8"?>
<?mso-contentType ?>
<spe:Receivers xmlns:spe="http://schemas.microsoft.com/sharepoint/event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Neue Features für den Fronius Wattpilot 2022/11</title_TI_DE>
    <title_TI_NO xmlns="dc0c2c3d-e9fc-4a0d-820b-87ab82e65f20">Pressrelease New features for the Fronius Wattpilot 2022/11 PB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Pressrelease New features for the Fronius Wattpilot 2022/11 PB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Pressrelease New features for the Fronius Wattpilot 2022/11 PB</title_TI_TH>
    <Licence_x0020_information xmlns="dc0c2c3d-e9fc-4a0d-820b-87ab82e65f20">(c) Fronius International</Licence_x0020_information>
    <title_TI_EA xmlns="dc0c2c3d-e9fc-4a0d-820b-87ab82e65f20">Pressrelease New features for the Fronius Wattpilot 2022/11 PB</title_TI_EA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#PT</TermName>
          <TermId xmlns="http://schemas.microsoft.com/office/infopath/2007/PartnerControls">09001fa6-1193-42f9-b106-6c6015fe3ec4</TermId>
        </TermInfo>
      </Terms>
    </kf02bcb85e834895bd30a86f7c59478d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Pressrelease New features for the Fronius Wattpilot 2022/11 PB</title_TI_DA>
    <Documenttype_TR xmlns="dc0c2c3d-e9fc-4a0d-820b-87ab82e65f20">Basın bülteni</Documenttype_TR>
    <title_TI_PL xmlns="dc0c2c3d-e9fc-4a0d-820b-87ab82e65f20">Pressrelease New features for the Fronius Wattpilot 2022/11 PB</title_TI_PL>
    <Documenttype_TH xmlns="dc0c2c3d-e9fc-4a0d-820b-87ab82e65f20">ข่าวประชาสัมพันธ์</Documenttype_TH>
    <title_TI_EL xmlns="dc0c2c3d-e9fc-4a0d-820b-87ab82e65f20">Pressrelease New features for the Fronius Wattpilot 2022/11 PB</title_TI_EL>
    <Documenttype_EA xmlns="dc0c2c3d-e9fc-4a0d-820b-87ab82e65f20">Press Release</Documenttype_EA>
    <Web_x0020_Display_x0020_Title_x0020_ET xmlns="dc0c2c3d-e9fc-4a0d-820b-87ab82e65f20">Pressrelease New features for the Fronius Wattpilot 2022/11 PB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title_TI_FR xmlns="dc0c2c3d-e9fc-4a0d-820b-87ab82e65f20">Pressrelease New features for the Fronius Wattpilot 2022/11 PB</title_TI_FR>
    <Documenttype_DA xmlns="dc0c2c3d-e9fc-4a0d-820b-87ab82e65f20">Presseinformationer</Documenttype_DA>
    <DocArticleNumber xmlns="dc0c2c3d-e9fc-4a0d-820b-87ab82e65f20" xsi:nil="true"/>
    <countryok xmlns="dc0c2c3d-e9fc-4a0d-820b-87ab82e65f20">true</countryok>
    <ArticleNumber xmlns="dc0c2c3d-e9fc-4a0d-820b-87ab82e65f20" xsi:nil="true"/>
    <title_TI_SV xmlns="dc0c2c3d-e9fc-4a0d-820b-87ab82e65f20">Pressrelease New features for the Fronius Wattpilot 2022/11 PB</title_TI_SV>
    <Documenttype_PL xmlns="dc0c2c3d-e9fc-4a0d-820b-87ab82e65f20">Informacja prasowe</Documenttype_PL>
    <VersionInternal xmlns="dc0c2c3d-e9fc-4a0d-820b-87ab82e65f20" xsi:nil="true"/>
    <Update xmlns="dc0c2c3d-e9fc-4a0d-820b-87ab82e65f20" xsi:nil="true"/>
    <FSM xmlns="dc0c2c3d-e9fc-4a0d-820b-87ab82e65f20">No</FSM>
    <FileMaster xmlns="dc0c2c3d-e9fc-4a0d-820b-87ab82e65f20">C-139020</FileMaster>
    <title_TI_NL xmlns="dc0c2c3d-e9fc-4a0d-820b-87ab82e65f20">Pressrelease New features for the Fronius Wattpilot 2022/11 PB</title_TI_NL>
    <contentservId xmlns="c4543867-fb67-4424-a255-4d54d75e50e3">C-139027</contentservId>
    <title_TI_IT xmlns="dc0c2c3d-e9fc-4a0d-820b-87ab82e65f20">Pressrelease New features for the Fronius Wattpilot 2022/11 PB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Pressrelease New features for the Fronius Wattpilot 2022/11 PB</title_TI_UA>
    <title_TI_JP xmlns="dc0c2c3d-e9fc-4a0d-820b-87ab82e65f20">Pressrelease New features for the Fronius Wattpilot 2022/11 PB</title_TI_JP>
    <Documenttype_NL xmlns="dc0c2c3d-e9fc-4a0d-820b-87ab82e65f20">Persbericht</Documenttype_NL>
    <title_TI_RO xmlns="dc0c2c3d-e9fc-4a0d-820b-87ab82e65f20">Pressrelease New features for the Fronius Wattpilot 2022/11 PB</title_TI_RO>
    <Documenttype_NB xmlns="c4543867-fb67-4424-a255-4d54d75e50e3">Presseinformasjon</Documenttype_NB>
    <title_ti_nb xmlns="dc0c2c3d-e9fc-4a0d-820b-87ab82e65f20" xsi:nil="true"/>
    <title_TI_ES xmlns="dc0c2c3d-e9fc-4a0d-820b-87ab82e65f20">Pressrelease New features for the Fronius Wattpilot 2022/11 PB</title_TI_ES>
    <title_TI_JA xmlns="dc0c2c3d-e9fc-4a0d-820b-87ab82e65f20">Pressrelease New features for the Fronius Wattpilot 2022/11 PB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1</Value>
      <Value>264</Value>
    </TaxCatchAll>
    <AGB xmlns="dc0c2c3d-e9fc-4a0d-820b-87ab82e65f20">false</AGB>
    <title_TI_EN xmlns="dc0c2c3d-e9fc-4a0d-820b-87ab82e65f20">Pressrelease New features for the Fronius Wattpilot 2022/11 PB</title_TI_EN>
    <MRMKeyWords xmlns="dc0c2c3d-e9fc-4a0d-820b-87ab82e65f20">#Presse#Solar Energy#Presseaussendung#Fronius#Wattpilot#Ladebox#press#press release#Charging box#</MRMKeyWords>
    <title_ti_zh xmlns="dc0c2c3d-e9fc-4a0d-820b-87ab82e65f20">Pressrelease New features for the Fronius Wattpilot 2022/11 PB</title_ti_zh>
    <MRMID xmlns="dc0c2c3d-e9fc-4a0d-820b-87ab82e65f20">M-194015</MRMID>
    <Documenttype_UK xmlns="c4543867-fb67-4424-a255-4d54d75e50e3">Прес-релізи</Documenttype_UK>
    <title_TI_SK xmlns="dc0c2c3d-e9fc-4a0d-820b-87ab82e65f20">Pressrelease New features for the Fronius Wattpilot 2022/11 PB</title_TI_SK>
    <Documenttype_UA xmlns="dc0c2c3d-e9fc-4a0d-820b-87ab82e65f20">Прес-релізи</Documenttype_UA>
    <title_TI_HU xmlns="dc0c2c3d-e9fc-4a0d-820b-87ab82e65f20">Pressrelease New features for the Fronius Wattpilot 2022/11 PB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Pressrelease New features for the Fronius Wattpilot 2022/11 PB</title_TI_PT>
    <title_ti_fi xmlns="dc0c2c3d-e9fc-4a0d-820b-87ab82e65f20">Pressrelease New features for the Fronius Wattpilot 2022/11 PB</title_ti_fi>
    <Country xmlns="dc0c2c3d-e9fc-4a0d-820b-87ab82e65f20">
      <Value>8</Value>
    </Country>
    <fro_spid xmlns="dc0c2c3d-e9fc-4a0d-820b-87ab82e65f20">9072;SE</fro_spid>
    <title_TI_RU xmlns="dc0c2c3d-e9fc-4a0d-820b-87ab82e65f20">Pressrelease New features for the Fronius Wattpilot 2022/11 PB</title_TI_RU>
    <Documenttype_JA xmlns="dc0c2c3d-e9fc-4a0d-820b-87ab82e65f20">ニュースリリース</Documenttype_JA>
    <Colour_x0020_space xmlns="dc0c2c3d-e9fc-4a0d-820b-87ab82e65f20" xsi:nil="true"/>
    <title_TI_CS xmlns="dc0c2c3d-e9fc-4a0d-820b-87ab82e65f20">Pressrelease New features for the Fronius Wattpilot 2022/11 PB</title_TI_CS>
    <title_TI_AR xmlns="dc0c2c3d-e9fc-4a0d-820b-87ab82e65f20">Pressrelease New features for the Fronius Wattpilot 2022/11 PB</title_TI_A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</documentManagement>
</p:properties>
</file>

<file path=customXml/itemProps1.xml><?xml version="1.0" encoding="utf-8"?>
<ds:datastoreItem xmlns:ds="http://schemas.openxmlformats.org/officeDocument/2006/customXml" ds:itemID="{E6CCA4E7-10A3-4268-B3C4-035EE2829229}"/>
</file>

<file path=customXml/itemProps2.xml><?xml version="1.0" encoding="utf-8"?>
<ds:datastoreItem xmlns:ds="http://schemas.openxmlformats.org/officeDocument/2006/customXml" ds:itemID="{3B36053C-515B-45FC-A000-89D58B0E93A8}"/>
</file>

<file path=customXml/itemProps3.xml><?xml version="1.0" encoding="utf-8"?>
<ds:datastoreItem xmlns:ds="http://schemas.openxmlformats.org/officeDocument/2006/customXml" ds:itemID="{26FC5DE8-F34F-4006-A223-4A8CD8ED48CD}"/>
</file>

<file path=customXml/itemProps4.xml><?xml version="1.0" encoding="utf-8"?>
<ds:datastoreItem xmlns:ds="http://schemas.openxmlformats.org/officeDocument/2006/customXml" ds:itemID="{A9A0195A-3BF4-4811-BBC2-7D136EF4EC34}"/>
</file>

<file path=customXml/itemProps5.xml><?xml version="1.0" encoding="utf-8"?>
<ds:datastoreItem xmlns:ds="http://schemas.openxmlformats.org/officeDocument/2006/customXml" ds:itemID="{C41C0B54-1E3E-47F4-8653-9F74C4C9A927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4</Pages>
  <Words>893</Words>
  <Characters>5633</Characters>
  <Application>Microsoft Office Word</Application>
  <DocSecurity>0</DocSecurity>
  <Lines>46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SE_PR_New_features_for_the_Fronius_Wattpilot_PB</dc:title>
  <dc:subject/>
  <dc:creator>Kneringer Daniel</dc:creator>
  <cp:keywords/>
  <dc:description/>
  <cp:lastModifiedBy>Majetic Kristina</cp:lastModifiedBy>
  <cp:revision>7</cp:revision>
  <cp:lastPrinted>2022-10-19T08:02:00Z</cp:lastPrinted>
  <dcterms:created xsi:type="dcterms:W3CDTF">2022-10-31T08:35:00Z</dcterms:created>
  <dcterms:modified xsi:type="dcterms:W3CDTF">2022-11-22T14:34:00Z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0x010100D81D3A5E066A7C4C894BF34B3C71E9830078818E860836564580539BE5C2186B8E</vt:lpwstr>
  </property>
  <property fmtid="{D5CDD505-2E9C-101B-9397-08002B2CF9AE}" pid="5" name="Market Segmentation">
    <vt:lpwstr/>
  </property>
  <property fmtid="{D5CDD505-2E9C-101B-9397-08002B2CF9AE}" pid="6" name="Service Levels TIM-RS">
    <vt:lpwstr/>
  </property>
  <property fmtid="{D5CDD505-2E9C-101B-9397-08002B2CF9AE}" pid="7" name="Products">
    <vt:lpwstr/>
  </property>
  <property fmtid="{D5CDD505-2E9C-101B-9397-08002B2CF9AE}" pid="8" name="fro_PartnerRoles">
    <vt:lpwstr/>
  </property>
  <property fmtid="{D5CDD505-2E9C-101B-9397-08002B2CF9AE}" pid="9" name="db07a75696b94569b570813d345bcf82">
    <vt:lpwstr/>
  </property>
  <property fmtid="{D5CDD505-2E9C-101B-9397-08002B2CF9AE}" pid="10" name="Language">
    <vt:lpwstr>264;##PT|09001fa6-1193-42f9-b106-6c6015fe3ec4</vt:lpwstr>
  </property>
  <property fmtid="{D5CDD505-2E9C-101B-9397-08002B2CF9AE}" pid="11" name="FroConDoc_language">
    <vt:lpwstr>1;#DE|676160ea-61f7-4cef-8b4c-1724dec2206e</vt:lpwstr>
  </property>
</Properties>
</file>