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943997" w:rsidRDefault="00ED5549" w:rsidP="004114C7">
      <w:pPr>
        <w:jc w:val="both"/>
        <w:rPr>
          <w:sz w:val="20"/>
          <w:szCs w:val="20"/>
          <w:lang w:val="en-US"/>
        </w:rPr>
      </w:pPr>
    </w:p>
    <w:p w14:paraId="687BC23B" w14:textId="77777777" w:rsidR="00ED5549" w:rsidRPr="00943997" w:rsidRDefault="00ED5549" w:rsidP="004114C7">
      <w:pPr>
        <w:jc w:val="both"/>
        <w:rPr>
          <w:sz w:val="20"/>
          <w:szCs w:val="20"/>
          <w:lang w:val="en-US"/>
        </w:rPr>
      </w:pPr>
    </w:p>
    <w:p w14:paraId="64EAFB9B" w14:textId="273A2B2D" w:rsidR="002D7A44" w:rsidRPr="00943997" w:rsidRDefault="00ED5549" w:rsidP="004114C7">
      <w:pPr>
        <w:pStyle w:val="berschrift1"/>
        <w:jc w:val="both"/>
      </w:pPr>
      <w:r w:rsidRPr="00943997">
        <w:t>Communiqué de presse</w:t>
      </w:r>
    </w:p>
    <w:p w14:paraId="07CB8F03" w14:textId="06F6FC04" w:rsidR="00ED5549" w:rsidRPr="00943997" w:rsidRDefault="0051114E" w:rsidP="004114C7">
      <w:pPr>
        <w:jc w:val="both"/>
      </w:pPr>
      <w:r w:rsidRPr="00943997">
        <w:rPr>
          <w:sz w:val="20"/>
        </w:rPr>
        <w:t>Solar Energy</w:t>
      </w:r>
    </w:p>
    <w:p w14:paraId="3EF5C6DD" w14:textId="6608F6CF" w:rsidR="00ED5549" w:rsidRPr="00943997" w:rsidRDefault="00ED5549" w:rsidP="004114C7">
      <w:pPr>
        <w:jc w:val="both"/>
        <w:rPr>
          <w:sz w:val="20"/>
          <w:szCs w:val="20"/>
        </w:rPr>
      </w:pPr>
    </w:p>
    <w:p w14:paraId="00F13E77" w14:textId="77777777" w:rsidR="00E83DD7" w:rsidRPr="00943997" w:rsidRDefault="00E83DD7" w:rsidP="004114C7">
      <w:pPr>
        <w:jc w:val="both"/>
        <w:rPr>
          <w:sz w:val="20"/>
          <w:szCs w:val="20"/>
        </w:rPr>
      </w:pPr>
    </w:p>
    <w:p w14:paraId="4F8F137E" w14:textId="56102395" w:rsidR="006D6430" w:rsidRPr="00943997" w:rsidRDefault="0070153C" w:rsidP="004114C7">
      <w:pPr>
        <w:pStyle w:val="HeadlineGreen"/>
        <w:jc w:val="both"/>
        <w:rPr>
          <w:color w:val="auto"/>
          <w:sz w:val="22"/>
          <w:szCs w:val="20"/>
        </w:rPr>
      </w:pPr>
      <w:r w:rsidRPr="00943997">
        <w:rPr>
          <w:color w:val="auto"/>
          <w:sz w:val="22"/>
        </w:rPr>
        <w:t xml:space="preserve">Le développement, notre atout majeur </w:t>
      </w:r>
    </w:p>
    <w:p w14:paraId="726FD8A5" w14:textId="1DFE8012" w:rsidR="002D7A44" w:rsidRPr="00943997" w:rsidRDefault="0070153C" w:rsidP="004114C7">
      <w:pPr>
        <w:pStyle w:val="berschrift2"/>
        <w:jc w:val="both"/>
        <w:rPr>
          <w:color w:val="auto"/>
          <w:sz w:val="32"/>
          <w:szCs w:val="28"/>
        </w:rPr>
      </w:pPr>
      <w:r w:rsidRPr="00943997">
        <w:rPr>
          <w:color w:val="auto"/>
          <w:sz w:val="32"/>
        </w:rPr>
        <w:t>Nouvelles fonctionnalités pour le Fronius Wattpilot</w:t>
      </w:r>
    </w:p>
    <w:p w14:paraId="2CC4F935" w14:textId="77777777" w:rsidR="00ED5549" w:rsidRPr="00943997" w:rsidRDefault="00ED5549" w:rsidP="004114C7">
      <w:pPr>
        <w:jc w:val="both"/>
        <w:rPr>
          <w:sz w:val="20"/>
          <w:szCs w:val="20"/>
        </w:rPr>
      </w:pPr>
    </w:p>
    <w:p w14:paraId="47D72435" w14:textId="23F5F75F" w:rsidR="001668E3" w:rsidRPr="00943997" w:rsidRDefault="00ED5549" w:rsidP="004114C7">
      <w:pPr>
        <w:jc w:val="both"/>
        <w:rPr>
          <w:sz w:val="24"/>
          <w:szCs w:val="24"/>
        </w:rPr>
      </w:pPr>
      <w:r w:rsidRPr="00943997">
        <w:rPr>
          <w:i/>
          <w:sz w:val="24"/>
        </w:rPr>
        <w:t xml:space="preserve">(Wels, le </w:t>
      </w:r>
      <w:r w:rsidR="002E179E">
        <w:rPr>
          <w:i/>
          <w:sz w:val="24"/>
        </w:rPr>
        <w:t>24</w:t>
      </w:r>
      <w:r w:rsidRPr="00943997">
        <w:rPr>
          <w:i/>
          <w:sz w:val="24"/>
        </w:rPr>
        <w:t>/11/2022)</w:t>
      </w:r>
      <w:r w:rsidRPr="00943997">
        <w:rPr>
          <w:sz w:val="24"/>
        </w:rPr>
        <w:t xml:space="preserve"> Les choses bougent pour la borne de recharge intelligente de Fronius : le Fronius Wattpilot présente une gestion de la charge, une plus grande flexibilité, un indice de protection plus élevée et une meilleure durabilité. Designed to move.</w:t>
      </w:r>
    </w:p>
    <w:p w14:paraId="2394DF3F" w14:textId="77777777" w:rsidR="003E6855" w:rsidRPr="00943997" w:rsidRDefault="003E6855" w:rsidP="004114C7">
      <w:pPr>
        <w:jc w:val="both"/>
        <w:rPr>
          <w:sz w:val="20"/>
          <w:szCs w:val="20"/>
        </w:rPr>
      </w:pPr>
    </w:p>
    <w:p w14:paraId="5DC0F779" w14:textId="5D3848BD" w:rsidR="003E6855" w:rsidRPr="00943997" w:rsidRDefault="00E026C1" w:rsidP="004114C7">
      <w:pPr>
        <w:jc w:val="both"/>
        <w:rPr>
          <w:sz w:val="20"/>
          <w:szCs w:val="20"/>
        </w:rPr>
      </w:pPr>
      <w:r w:rsidRPr="00943997">
        <w:rPr>
          <w:sz w:val="20"/>
        </w:rPr>
        <w:t xml:space="preserve">S’améliorer constamment fait partie intégrante de la philosophie de Fronius. </w:t>
      </w:r>
      <w:r w:rsidRPr="00943997">
        <w:rPr>
          <w:i/>
          <w:sz w:val="20"/>
        </w:rPr>
        <w:t xml:space="preserve">« Nous œuvrons chaque jour au développement de nos produits et solutions. Le Fronius Wattpilot en est l’exemple le plus récent. Les nouvelles fonctionnalités du logiciel regorgent d’avantages, aussi bien pour l’installateur que pour le propriétaire de l’installation photovoltaïque », </w:t>
      </w:r>
      <w:r w:rsidRPr="00943997">
        <w:rPr>
          <w:sz w:val="20"/>
        </w:rPr>
        <w:t>explique Martin Hackl, Directeur général Commercial et Marketing   de la Business Unit Solar Energy, chez Fronius International GmbH. La création de valeur joue elle aussi un rôle important : dans la lignée de la stratégie de durabilité de Fronius, les pièces utilisées proviennent d’Europe, afin d’éviter de longues distances de transport.</w:t>
      </w:r>
    </w:p>
    <w:p w14:paraId="60AF471D" w14:textId="77777777" w:rsidR="000C153C" w:rsidRPr="002E179E" w:rsidRDefault="000C153C" w:rsidP="004114C7">
      <w:pPr>
        <w:pStyle w:val="berschrift4"/>
        <w:jc w:val="both"/>
        <w:rPr>
          <w:iCs w:val="0"/>
          <w:color w:val="D73237"/>
          <w:szCs w:val="24"/>
          <w:u w:val="none"/>
        </w:rPr>
      </w:pPr>
      <w:r w:rsidRPr="002E179E">
        <w:rPr>
          <w:iCs w:val="0"/>
          <w:color w:val="D73237"/>
          <w:szCs w:val="24"/>
          <w:u w:val="none"/>
        </w:rPr>
        <w:t>Nouvelles fonctionnalités pour le Fronius Wattpilot</w:t>
      </w:r>
    </w:p>
    <w:p w14:paraId="70733AC7" w14:textId="6A0C9BFB" w:rsidR="00414868" w:rsidRPr="00943997" w:rsidRDefault="00414868" w:rsidP="004114C7">
      <w:pPr>
        <w:spacing w:after="0" w:line="240" w:lineRule="auto"/>
        <w:jc w:val="both"/>
        <w:rPr>
          <w:sz w:val="20"/>
          <w:szCs w:val="20"/>
        </w:rPr>
      </w:pPr>
      <w:r w:rsidRPr="00943997">
        <w:rPr>
          <w:sz w:val="20"/>
        </w:rPr>
        <w:t>L’une des nouveautés est, par exemple, le protocole OCPP (Open charge point protocol). Il s’agit d’une interface standardisée pour la gestion des stations de charge qui permet d’établir des rapports de charge et de procéder à la gestion de la charge.</w:t>
      </w:r>
    </w:p>
    <w:p w14:paraId="2B8F8BC8" w14:textId="77777777" w:rsidR="00414868" w:rsidRPr="00943997" w:rsidRDefault="00414868" w:rsidP="004114C7">
      <w:pPr>
        <w:spacing w:after="0" w:line="240" w:lineRule="auto"/>
        <w:jc w:val="both"/>
        <w:rPr>
          <w:sz w:val="20"/>
          <w:szCs w:val="20"/>
        </w:rPr>
      </w:pPr>
    </w:p>
    <w:p w14:paraId="30CD8A98" w14:textId="10167FC2" w:rsidR="00457B9C" w:rsidRPr="00943997" w:rsidRDefault="00414868" w:rsidP="004114C7">
      <w:pPr>
        <w:spacing w:after="0" w:line="240" w:lineRule="auto"/>
        <w:jc w:val="both"/>
        <w:rPr>
          <w:sz w:val="20"/>
          <w:szCs w:val="20"/>
        </w:rPr>
      </w:pPr>
      <w:r w:rsidRPr="00943997">
        <w:rPr>
          <w:sz w:val="20"/>
        </w:rPr>
        <w:t xml:space="preserve">De nouvelles fonctionnalités attendent aussi ceux qui aiment avoir une vue d’ensemble de tous les flux d’énergie du Wattpilot : ils sont depuis peu visibles sur Fronius Solar.web. L’outil de surveillance gratuit procure ainsi une visualisation uniforme et la possibilité de résoudre directement les problèmes. Le Wattpilot change par ailleurs d’apparence : son boîtier moderne garantit un indice de protection IP55, plus élevé. En outre, la portée WLAN a été améliorée, ce qui améliore la flexibilité sur le site de l’installation. </w:t>
      </w:r>
    </w:p>
    <w:p w14:paraId="1F465F27" w14:textId="77777777" w:rsidR="00457B9C" w:rsidRPr="00943997" w:rsidRDefault="00457B9C" w:rsidP="004114C7">
      <w:pPr>
        <w:spacing w:after="0" w:line="240" w:lineRule="auto"/>
        <w:jc w:val="both"/>
        <w:rPr>
          <w:sz w:val="20"/>
          <w:szCs w:val="20"/>
        </w:rPr>
      </w:pPr>
    </w:p>
    <w:p w14:paraId="7604D22E" w14:textId="06C22905" w:rsidR="00771381" w:rsidRPr="00943997" w:rsidRDefault="00856D43" w:rsidP="004114C7">
      <w:pPr>
        <w:spacing w:after="0" w:line="240" w:lineRule="auto"/>
        <w:jc w:val="both"/>
        <w:rPr>
          <w:sz w:val="20"/>
          <w:szCs w:val="20"/>
        </w:rPr>
      </w:pPr>
      <w:r w:rsidRPr="00943997">
        <w:rPr>
          <w:sz w:val="20"/>
        </w:rPr>
        <w:t xml:space="preserve">Tous ces développements concernent aussi bien les versions existantes que deux versions supplémentaires : le Wattpilot Home 22 J et le Wattpilot Go J 22 AUS (pour l’Australie). </w:t>
      </w:r>
    </w:p>
    <w:p w14:paraId="12BF2144" w14:textId="77777777" w:rsidR="00E44194" w:rsidRPr="00943997" w:rsidRDefault="00E44194" w:rsidP="004114C7">
      <w:pPr>
        <w:spacing w:after="0" w:line="240" w:lineRule="auto"/>
        <w:jc w:val="both"/>
        <w:rPr>
          <w:sz w:val="20"/>
          <w:szCs w:val="20"/>
        </w:rPr>
      </w:pPr>
    </w:p>
    <w:p w14:paraId="09084370" w14:textId="0692C841" w:rsidR="00A70142" w:rsidRPr="002E179E" w:rsidRDefault="00AD47F0" w:rsidP="002E179E">
      <w:pPr>
        <w:pStyle w:val="berschrift4"/>
        <w:jc w:val="both"/>
        <w:rPr>
          <w:iCs w:val="0"/>
          <w:color w:val="D73237"/>
          <w:szCs w:val="24"/>
          <w:u w:val="none"/>
        </w:rPr>
      </w:pPr>
      <w:r w:rsidRPr="002E179E">
        <w:rPr>
          <w:iCs w:val="0"/>
          <w:color w:val="D73237"/>
          <w:szCs w:val="24"/>
          <w:u w:val="none"/>
        </w:rPr>
        <w:t>Optimiser l’énergie lors de la charge</w:t>
      </w:r>
    </w:p>
    <w:p w14:paraId="3CAD8B69" w14:textId="00DCC187" w:rsidR="00E026C1" w:rsidRPr="00943997" w:rsidRDefault="00F8214B" w:rsidP="004114C7">
      <w:pPr>
        <w:spacing w:after="0" w:line="240" w:lineRule="auto"/>
        <w:jc w:val="both"/>
        <w:rPr>
          <w:sz w:val="20"/>
          <w:szCs w:val="20"/>
        </w:rPr>
      </w:pPr>
      <w:r w:rsidRPr="00943997">
        <w:rPr>
          <w:sz w:val="20"/>
        </w:rPr>
        <w:t>Dynamic Load Balancing sera disponible en fin d’année sur toutes les bornes de recharge Wattpilot.</w:t>
      </w:r>
      <w:r w:rsidRPr="00943997">
        <w:rPr>
          <w:sz w:val="20"/>
          <w:vertAlign w:val="superscript"/>
        </w:rPr>
        <w:t>*</w:t>
      </w:r>
      <w:r w:rsidRPr="00943997">
        <w:rPr>
          <w:sz w:val="20"/>
        </w:rPr>
        <w:t xml:space="preserve"> Les véhicules électriques sont fréquemment rechargés à grande puissance. Si plusieurs d’entre eux sont raccordés simultanément, la puissance de connexion maximale du foyer est alors souvent dépassée. Avec l’option Dynamic Load Balancing, le courant est réparti de </w:t>
      </w:r>
      <w:r w:rsidRPr="00943997">
        <w:rPr>
          <w:sz w:val="20"/>
        </w:rPr>
        <w:lastRenderedPageBreak/>
        <w:t>manière optimale, pour une situation de charge sécurisée sans devoir investir dans une grande infrastructure de connexion onéreuse. Dynamic Load Balancing permet de recharger jusqu’à trois véhicules électriques en même temps, tout en optimisant l’énergie nécessaire. Cette dernière est commandée et répartie entre les véhicules en charge de manière dynamique.</w:t>
      </w:r>
    </w:p>
    <w:p w14:paraId="68CA0F70" w14:textId="321892C6" w:rsidR="00E026C1" w:rsidRDefault="00C505D8" w:rsidP="002E179E">
      <w:pPr>
        <w:spacing w:after="0" w:line="240" w:lineRule="auto"/>
        <w:jc w:val="both"/>
        <w:rPr>
          <w:sz w:val="20"/>
        </w:rPr>
      </w:pPr>
      <w:r w:rsidRPr="00943997">
        <w:rPr>
          <w:sz w:val="20"/>
        </w:rPr>
        <w:t xml:space="preserve">Le Wattpilot est d’ores et déjà capable de détecter un dépassement de la puissance de connexion du foyer et d’y réagir, en donnant la priorité aux consommateurs dans la maison (entre autres : pompe à chaleur, Ohmpilot, cuisinière). </w:t>
      </w:r>
    </w:p>
    <w:p w14:paraId="73C37F0F" w14:textId="77777777" w:rsidR="002E179E" w:rsidRPr="002E179E" w:rsidRDefault="002E179E" w:rsidP="002E179E">
      <w:pPr>
        <w:spacing w:after="0" w:line="240" w:lineRule="auto"/>
        <w:jc w:val="both"/>
        <w:rPr>
          <w:sz w:val="20"/>
          <w:szCs w:val="20"/>
        </w:rPr>
      </w:pPr>
    </w:p>
    <w:p w14:paraId="790DC069" w14:textId="4E1438AF" w:rsidR="00B8257D" w:rsidRPr="002E179E" w:rsidRDefault="007D62A9" w:rsidP="004114C7">
      <w:pPr>
        <w:pStyle w:val="berschrift4"/>
        <w:jc w:val="both"/>
        <w:rPr>
          <w:iCs w:val="0"/>
          <w:color w:val="D73237"/>
          <w:szCs w:val="24"/>
          <w:u w:val="none"/>
        </w:rPr>
      </w:pPr>
      <w:r w:rsidRPr="002E179E">
        <w:rPr>
          <w:iCs w:val="0"/>
          <w:color w:val="D73237"/>
          <w:szCs w:val="24"/>
          <w:u w:val="none"/>
        </w:rPr>
        <w:t>Installation photovoltaïque et e-mobilité, un duo de choc</w:t>
      </w:r>
    </w:p>
    <w:p w14:paraId="4AA0C3EB" w14:textId="78CF65CA" w:rsidR="00FD11E6" w:rsidRPr="00943997" w:rsidRDefault="00FD11E6" w:rsidP="004114C7">
      <w:pPr>
        <w:jc w:val="both"/>
        <w:rPr>
          <w:sz w:val="20"/>
          <w:szCs w:val="20"/>
        </w:rPr>
      </w:pPr>
      <w:r w:rsidRPr="00943997">
        <w:rPr>
          <w:sz w:val="20"/>
        </w:rPr>
        <w:t xml:space="preserve">L’électromobilité prend tout son sens lorsqu’elle est conjuguée à une installation photovoltaïque. En effet, il est plus rentable de recharger sa voiture électrique avec du courant issu de sa propre installation photovoltaïque, d’autant plus que l’énergie verte permet de continuer à diminuer considérablement son empreinte écologique. </w:t>
      </w:r>
    </w:p>
    <w:p w14:paraId="21382306" w14:textId="42DEC2A0" w:rsidR="006747BA" w:rsidRPr="00943997" w:rsidRDefault="00AD47F0" w:rsidP="00AD47F0">
      <w:pPr>
        <w:jc w:val="both"/>
        <w:rPr>
          <w:sz w:val="16"/>
          <w:szCs w:val="16"/>
        </w:rPr>
      </w:pPr>
      <w:r w:rsidRPr="00943997">
        <w:rPr>
          <w:sz w:val="16"/>
          <w:vertAlign w:val="superscript"/>
        </w:rPr>
        <w:t>*</w:t>
      </w:r>
      <w:r w:rsidRPr="00943997">
        <w:rPr>
          <w:sz w:val="16"/>
        </w:rPr>
        <w:t xml:space="preserve"> Cette fonctionnalité sera disponible fin 2022 grâce à une mise à jour logicielle.</w:t>
      </w:r>
    </w:p>
    <w:p w14:paraId="18AD3FBE" w14:textId="77777777" w:rsidR="00AD47F0" w:rsidRPr="00943997" w:rsidRDefault="00AD47F0" w:rsidP="004114C7">
      <w:pPr>
        <w:spacing w:before="40" w:after="40"/>
        <w:jc w:val="both"/>
        <w:rPr>
          <w:sz w:val="20"/>
          <w:szCs w:val="20"/>
        </w:rPr>
      </w:pPr>
    </w:p>
    <w:p w14:paraId="39701604" w14:textId="0B400550" w:rsidR="0044171E" w:rsidRPr="00943997" w:rsidRDefault="0044171E" w:rsidP="004114C7">
      <w:pPr>
        <w:spacing w:before="40" w:after="40"/>
        <w:jc w:val="both"/>
        <w:rPr>
          <w:sz w:val="20"/>
          <w:szCs w:val="20"/>
        </w:rPr>
      </w:pPr>
      <w:r w:rsidRPr="00943997">
        <w:rPr>
          <w:sz w:val="20"/>
        </w:rPr>
        <w:t xml:space="preserve">Mots : </w:t>
      </w:r>
      <w:r w:rsidR="002E179E">
        <w:rPr>
          <w:sz w:val="20"/>
        </w:rPr>
        <w:t>509</w:t>
      </w:r>
    </w:p>
    <w:p w14:paraId="34AE8A3E" w14:textId="300B802B" w:rsidR="006747BA" w:rsidRPr="00943997" w:rsidRDefault="0044171E" w:rsidP="004114C7">
      <w:pPr>
        <w:spacing w:before="40" w:after="40"/>
        <w:jc w:val="both"/>
        <w:rPr>
          <w:sz w:val="20"/>
          <w:szCs w:val="20"/>
        </w:rPr>
      </w:pPr>
      <w:r w:rsidRPr="00943997">
        <w:rPr>
          <w:sz w:val="20"/>
        </w:rPr>
        <w:t xml:space="preserve">Caractères : </w:t>
      </w:r>
      <w:r w:rsidR="002E179E">
        <w:rPr>
          <w:sz w:val="20"/>
        </w:rPr>
        <w:t>3 418</w:t>
      </w:r>
      <w:r w:rsidRPr="00943997">
        <w:rPr>
          <w:sz w:val="20"/>
        </w:rPr>
        <w:t>(espaces compris)</w:t>
      </w:r>
    </w:p>
    <w:p w14:paraId="27EFE6A5" w14:textId="77777777" w:rsidR="0044171E" w:rsidRPr="00943997" w:rsidRDefault="0044171E" w:rsidP="004114C7">
      <w:pPr>
        <w:jc w:val="both"/>
        <w:rPr>
          <w:sz w:val="20"/>
          <w:szCs w:val="20"/>
        </w:rPr>
      </w:pPr>
    </w:p>
    <w:p w14:paraId="7EC534EB" w14:textId="78A06791" w:rsidR="00B8257D" w:rsidRPr="00943997" w:rsidRDefault="00B8257D" w:rsidP="004114C7">
      <w:pPr>
        <w:pStyle w:val="berschrift4"/>
        <w:jc w:val="both"/>
        <w:rPr>
          <w:sz w:val="20"/>
          <w:szCs w:val="20"/>
        </w:rPr>
      </w:pPr>
      <w:r w:rsidRPr="00943997">
        <w:rPr>
          <w:sz w:val="20"/>
        </w:rPr>
        <w:t>Photos – Aperçu</w:t>
      </w:r>
    </w:p>
    <w:p w14:paraId="754368C8" w14:textId="73057ADA" w:rsidR="00B8257D" w:rsidRPr="00943997" w:rsidRDefault="00B8257D" w:rsidP="004114C7">
      <w:pPr>
        <w:jc w:val="both"/>
        <w:rPr>
          <w:sz w:val="20"/>
          <w:szCs w:val="20"/>
        </w:rPr>
      </w:pPr>
    </w:p>
    <w:p w14:paraId="2929A202" w14:textId="77777777" w:rsidR="002E179E" w:rsidRDefault="00232002" w:rsidP="00232002">
      <w:pPr>
        <w:jc w:val="both"/>
        <w:rPr>
          <w:sz w:val="18"/>
        </w:rPr>
      </w:pPr>
      <w:r w:rsidRPr="00943997">
        <w:rPr>
          <w:noProof/>
        </w:rPr>
        <w:drawing>
          <wp:inline distT="0" distB="0" distL="0" distR="0" wp14:anchorId="035F2AEC" wp14:editId="44032932">
            <wp:extent cx="2115047" cy="158407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9582" cy="1602448"/>
                    </a:xfrm>
                    <a:prstGeom prst="rect">
                      <a:avLst/>
                    </a:prstGeom>
                    <a:noFill/>
                    <a:ln>
                      <a:noFill/>
                    </a:ln>
                  </pic:spPr>
                </pic:pic>
              </a:graphicData>
            </a:graphic>
          </wp:inline>
        </w:drawing>
      </w:r>
      <w:r w:rsidRPr="00943997">
        <w:rPr>
          <w:sz w:val="18"/>
        </w:rPr>
        <w:t xml:space="preserve"> </w:t>
      </w:r>
    </w:p>
    <w:p w14:paraId="72D1AEBA" w14:textId="2DEE4714" w:rsidR="00B94D0E" w:rsidRPr="00943997" w:rsidRDefault="00232002" w:rsidP="00232002">
      <w:pPr>
        <w:jc w:val="both"/>
        <w:rPr>
          <w:sz w:val="18"/>
          <w:szCs w:val="18"/>
        </w:rPr>
      </w:pPr>
      <w:r w:rsidRPr="00943997">
        <w:rPr>
          <w:sz w:val="16"/>
        </w:rPr>
        <w:t xml:space="preserve">Depuis peu, l’e-mobilité est également visible sur Fronius Solar.web. </w:t>
      </w:r>
    </w:p>
    <w:p w14:paraId="70B48718" w14:textId="585DDB1E" w:rsidR="00B94D0E" w:rsidRPr="00943997" w:rsidRDefault="00232002" w:rsidP="004114C7">
      <w:pPr>
        <w:pStyle w:val="Listenabsatz"/>
        <w:spacing w:after="0" w:line="240" w:lineRule="auto"/>
        <w:contextualSpacing w:val="0"/>
        <w:jc w:val="both"/>
        <w:rPr>
          <w:rFonts w:eastAsia="Times New Roman"/>
        </w:rPr>
      </w:pPr>
      <w:r w:rsidRPr="00943997">
        <w:rPr>
          <w:noProof/>
        </w:rPr>
        <w:drawing>
          <wp:anchor distT="0" distB="0" distL="114300" distR="114300" simplePos="0" relativeHeight="251670528" behindDoc="1" locked="0" layoutInCell="1" allowOverlap="1" wp14:anchorId="44BE8099" wp14:editId="6BA563B1">
            <wp:simplePos x="0" y="0"/>
            <wp:positionH relativeFrom="column">
              <wp:posOffset>14467</wp:posOffset>
            </wp:positionH>
            <wp:positionV relativeFrom="paragraph">
              <wp:posOffset>56598</wp:posOffset>
            </wp:positionV>
            <wp:extent cx="1368735" cy="1677726"/>
            <wp:effectExtent l="0" t="0" r="3175" b="0"/>
            <wp:wrapTight wrapText="bothSides">
              <wp:wrapPolygon edited="0">
                <wp:start x="0" y="0"/>
                <wp:lineTo x="0" y="21338"/>
                <wp:lineTo x="21349" y="21338"/>
                <wp:lineTo x="2134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8735" cy="1677726"/>
                    </a:xfrm>
                    <a:prstGeom prst="rect">
                      <a:avLst/>
                    </a:prstGeom>
                    <a:noFill/>
                    <a:ln>
                      <a:noFill/>
                    </a:ln>
                  </pic:spPr>
                </pic:pic>
              </a:graphicData>
            </a:graphic>
          </wp:anchor>
        </w:drawing>
      </w:r>
    </w:p>
    <w:p w14:paraId="65FF5D2B" w14:textId="6AC9BCD3" w:rsidR="00B94D0E" w:rsidRPr="00943997" w:rsidRDefault="00B94D0E" w:rsidP="00232002">
      <w:pPr>
        <w:pStyle w:val="Listenabsatz"/>
        <w:spacing w:after="0" w:line="240" w:lineRule="auto"/>
        <w:contextualSpacing w:val="0"/>
        <w:rPr>
          <w:rFonts w:eastAsia="Times New Roman"/>
        </w:rPr>
      </w:pPr>
    </w:p>
    <w:p w14:paraId="2CA1BF0B" w14:textId="167420AC" w:rsidR="00604BFB" w:rsidRPr="00943997" w:rsidRDefault="00604BFB" w:rsidP="004114C7">
      <w:pPr>
        <w:jc w:val="both"/>
        <w:rPr>
          <w:sz w:val="18"/>
          <w:szCs w:val="18"/>
        </w:rPr>
      </w:pPr>
    </w:p>
    <w:p w14:paraId="0BB1C467" w14:textId="488932C7" w:rsidR="00604BFB" w:rsidRPr="00943997" w:rsidRDefault="00604BFB" w:rsidP="004114C7">
      <w:pPr>
        <w:jc w:val="both"/>
        <w:rPr>
          <w:sz w:val="18"/>
          <w:szCs w:val="18"/>
        </w:rPr>
      </w:pPr>
    </w:p>
    <w:p w14:paraId="526DE079" w14:textId="5C49562D" w:rsidR="00B94D0E" w:rsidRPr="00943997" w:rsidRDefault="00B94D0E" w:rsidP="004114C7">
      <w:pPr>
        <w:jc w:val="both"/>
        <w:rPr>
          <w:sz w:val="18"/>
          <w:szCs w:val="18"/>
        </w:rPr>
      </w:pPr>
    </w:p>
    <w:p w14:paraId="4D1FC022" w14:textId="77777777" w:rsidR="002E179E" w:rsidRDefault="002E179E" w:rsidP="004114C7">
      <w:pPr>
        <w:jc w:val="both"/>
        <w:rPr>
          <w:sz w:val="16"/>
        </w:rPr>
      </w:pPr>
    </w:p>
    <w:p w14:paraId="5BA29768" w14:textId="77777777" w:rsidR="002E179E" w:rsidRDefault="002E179E" w:rsidP="004114C7">
      <w:pPr>
        <w:jc w:val="both"/>
        <w:rPr>
          <w:sz w:val="16"/>
        </w:rPr>
      </w:pPr>
    </w:p>
    <w:p w14:paraId="55FBFA8E" w14:textId="77777777" w:rsidR="002E179E" w:rsidRDefault="002E179E" w:rsidP="004114C7">
      <w:pPr>
        <w:jc w:val="both"/>
        <w:rPr>
          <w:sz w:val="16"/>
        </w:rPr>
      </w:pPr>
    </w:p>
    <w:p w14:paraId="047BDC7C" w14:textId="079764A0" w:rsidR="00B94D0E" w:rsidRPr="00943997" w:rsidRDefault="00B94D0E" w:rsidP="004114C7">
      <w:pPr>
        <w:jc w:val="both"/>
        <w:rPr>
          <w:sz w:val="16"/>
          <w:szCs w:val="16"/>
        </w:rPr>
      </w:pPr>
      <w:r w:rsidRPr="00943997">
        <w:rPr>
          <w:sz w:val="16"/>
        </w:rPr>
        <w:t>Le boîtier moderne du Fronius Wattpilot garantit un indice de protection plus élevé (IP55).</w:t>
      </w:r>
    </w:p>
    <w:p w14:paraId="276226E2" w14:textId="77777777" w:rsidR="00B94D0E" w:rsidRPr="00943997" w:rsidRDefault="00B94D0E" w:rsidP="004114C7">
      <w:pPr>
        <w:jc w:val="both"/>
        <w:rPr>
          <w:sz w:val="18"/>
          <w:szCs w:val="18"/>
        </w:rPr>
      </w:pPr>
    </w:p>
    <w:p w14:paraId="0D053E90" w14:textId="28605316" w:rsidR="00E536B5" w:rsidRPr="00943997" w:rsidRDefault="00FE5AD6" w:rsidP="004114C7">
      <w:pPr>
        <w:jc w:val="both"/>
        <w:rPr>
          <w:noProof/>
          <w:sz w:val="18"/>
          <w:szCs w:val="18"/>
        </w:rPr>
      </w:pPr>
      <w:r w:rsidRPr="00943997">
        <w:rPr>
          <w:noProof/>
        </w:rPr>
        <w:lastRenderedPageBreak/>
        <w:drawing>
          <wp:anchor distT="0" distB="0" distL="114300" distR="114300" simplePos="0" relativeHeight="251671552" behindDoc="1" locked="0" layoutInCell="1" allowOverlap="1" wp14:anchorId="12602AF7" wp14:editId="6A200C46">
            <wp:simplePos x="0" y="0"/>
            <wp:positionH relativeFrom="column">
              <wp:posOffset>-1298</wp:posOffset>
            </wp:positionH>
            <wp:positionV relativeFrom="paragraph">
              <wp:posOffset>883</wp:posOffset>
            </wp:positionV>
            <wp:extent cx="2027583" cy="1519569"/>
            <wp:effectExtent l="0" t="0" r="0" b="4445"/>
            <wp:wrapTight wrapText="bothSides">
              <wp:wrapPolygon edited="0">
                <wp:start x="0" y="0"/>
                <wp:lineTo x="0" y="21392"/>
                <wp:lineTo x="21309" y="21392"/>
                <wp:lineTo x="2130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7583" cy="1519569"/>
                    </a:xfrm>
                    <a:prstGeom prst="rect">
                      <a:avLst/>
                    </a:prstGeom>
                  </pic:spPr>
                </pic:pic>
              </a:graphicData>
            </a:graphic>
          </wp:anchor>
        </w:drawing>
      </w:r>
    </w:p>
    <w:p w14:paraId="64E1C903" w14:textId="77777777" w:rsidR="00E536B5" w:rsidRPr="00943997" w:rsidRDefault="00E536B5" w:rsidP="004114C7">
      <w:pPr>
        <w:jc w:val="both"/>
        <w:rPr>
          <w:noProof/>
          <w:sz w:val="18"/>
          <w:szCs w:val="18"/>
        </w:rPr>
      </w:pPr>
    </w:p>
    <w:p w14:paraId="4A1D9969" w14:textId="07F7F900" w:rsidR="00E536B5" w:rsidRPr="00943997" w:rsidRDefault="00E536B5" w:rsidP="004114C7">
      <w:pPr>
        <w:jc w:val="both"/>
        <w:rPr>
          <w:noProof/>
          <w:sz w:val="18"/>
          <w:szCs w:val="18"/>
        </w:rPr>
      </w:pPr>
    </w:p>
    <w:p w14:paraId="66E76011" w14:textId="0F0D9D3B" w:rsidR="00E536B5" w:rsidRPr="00943997" w:rsidRDefault="00E536B5" w:rsidP="004114C7">
      <w:pPr>
        <w:jc w:val="both"/>
        <w:rPr>
          <w:noProof/>
          <w:sz w:val="18"/>
          <w:szCs w:val="18"/>
        </w:rPr>
      </w:pPr>
    </w:p>
    <w:p w14:paraId="2EF4EB13" w14:textId="77777777" w:rsidR="00E536B5" w:rsidRPr="00943997" w:rsidRDefault="00E536B5" w:rsidP="004114C7">
      <w:pPr>
        <w:jc w:val="both"/>
        <w:rPr>
          <w:noProof/>
          <w:sz w:val="18"/>
          <w:szCs w:val="18"/>
        </w:rPr>
      </w:pPr>
    </w:p>
    <w:p w14:paraId="1BEB9F11" w14:textId="77777777" w:rsidR="002E179E" w:rsidRDefault="002E179E" w:rsidP="004114C7">
      <w:pPr>
        <w:jc w:val="both"/>
        <w:rPr>
          <w:sz w:val="16"/>
        </w:rPr>
      </w:pPr>
    </w:p>
    <w:p w14:paraId="6A2D5607" w14:textId="3EC80EC6" w:rsidR="002F207D" w:rsidRPr="00943997" w:rsidRDefault="007D62A9" w:rsidP="004114C7">
      <w:pPr>
        <w:jc w:val="both"/>
        <w:rPr>
          <w:sz w:val="18"/>
          <w:szCs w:val="18"/>
        </w:rPr>
      </w:pPr>
      <w:r w:rsidRPr="00943997">
        <w:rPr>
          <w:sz w:val="16"/>
        </w:rPr>
        <w:t>Installation photovoltaïque et e-mobilité, un duo de choc.</w:t>
      </w:r>
    </w:p>
    <w:p w14:paraId="0AD63EC5" w14:textId="77777777" w:rsidR="00D05566" w:rsidRPr="00943997" w:rsidRDefault="00D05566" w:rsidP="004114C7">
      <w:pPr>
        <w:jc w:val="both"/>
        <w:rPr>
          <w:i/>
          <w:iCs/>
          <w:sz w:val="18"/>
          <w:szCs w:val="18"/>
        </w:rPr>
      </w:pPr>
    </w:p>
    <w:p w14:paraId="678B5CFF" w14:textId="4880A8BD" w:rsidR="00B8257D" w:rsidRPr="00943997" w:rsidRDefault="00B25C3B" w:rsidP="004114C7">
      <w:pPr>
        <w:jc w:val="both"/>
        <w:rPr>
          <w:i/>
          <w:iCs/>
          <w:sz w:val="18"/>
          <w:szCs w:val="18"/>
        </w:rPr>
      </w:pPr>
      <w:r w:rsidRPr="00943997">
        <w:rPr>
          <w:i/>
          <w:sz w:val="18"/>
        </w:rPr>
        <w:t>Crédit photo : Fronius International GmbH, publication libre de droits</w:t>
      </w:r>
    </w:p>
    <w:p w14:paraId="0C1181E0" w14:textId="77777777" w:rsidR="008C5190" w:rsidRPr="00943997" w:rsidRDefault="008C5190" w:rsidP="004114C7">
      <w:pPr>
        <w:jc w:val="both"/>
        <w:rPr>
          <w:rFonts w:eastAsiaTheme="majorEastAsia" w:cstheme="majorBidi"/>
          <w:iCs/>
          <w:color w:val="000000" w:themeColor="text1"/>
          <w:sz w:val="20"/>
          <w:szCs w:val="20"/>
        </w:rPr>
      </w:pPr>
    </w:p>
    <w:p w14:paraId="35D157E3" w14:textId="4DE4010E" w:rsidR="00EC6E68" w:rsidRPr="00943997" w:rsidRDefault="0015484D" w:rsidP="004114C7">
      <w:pPr>
        <w:pStyle w:val="berschrift4"/>
        <w:jc w:val="both"/>
        <w:rPr>
          <w:sz w:val="20"/>
          <w:szCs w:val="20"/>
        </w:rPr>
      </w:pPr>
      <w:r w:rsidRPr="00943997">
        <w:rPr>
          <w:sz w:val="20"/>
        </w:rPr>
        <w:t>Business Unit Solar Energy</w:t>
      </w:r>
    </w:p>
    <w:p w14:paraId="5F3913DA" w14:textId="71F63AB1" w:rsidR="001B4713" w:rsidRPr="00943997" w:rsidRDefault="00D61309" w:rsidP="004114C7">
      <w:pPr>
        <w:jc w:val="both"/>
        <w:rPr>
          <w:sz w:val="20"/>
          <w:szCs w:val="20"/>
        </w:rPr>
      </w:pPr>
      <w:r w:rsidRPr="00943997">
        <w:rPr>
          <w:sz w:val="20"/>
        </w:rPr>
        <w:t>Fondée en 1992, la Business Unit Solar Energy fête cette année ses 30 ans d’existence. En nous appuyant sur le slogan « Energize your life », nous développons des solutions innovantes qui permettent de produire, stocker, distribuer et consommer l’énergie solaire de façon rentable et intelligente. Pionnier d’un avenir digne, dans lequel les énergies renouvelables couvriraient la totalité du 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25 gigawatts d’onduleurs installés. La distribution est assurée via un réseau mondial de partenaires commerciaux et d’installateurs Fronius Service Partner formés et accrédités.</w:t>
      </w:r>
    </w:p>
    <w:p w14:paraId="00AB6915" w14:textId="77777777" w:rsidR="00BB6194" w:rsidRPr="00943997" w:rsidRDefault="00BB6194" w:rsidP="004114C7">
      <w:pPr>
        <w:spacing w:after="0" w:line="240" w:lineRule="auto"/>
        <w:jc w:val="both"/>
        <w:rPr>
          <w:b/>
          <w:bCs/>
          <w:sz w:val="20"/>
          <w:szCs w:val="20"/>
        </w:rPr>
      </w:pPr>
      <w:bookmarkStart w:id="0" w:name="_Hlk107480427"/>
      <w:r w:rsidRPr="00943997">
        <w:rPr>
          <w:b/>
          <w:sz w:val="20"/>
        </w:rPr>
        <w:t>Nous sommes Fronius.</w:t>
      </w:r>
    </w:p>
    <w:bookmarkEnd w:id="0"/>
    <w:p w14:paraId="4AEAEE72" w14:textId="77777777" w:rsidR="00BB6194" w:rsidRPr="00943997" w:rsidRDefault="00BB6194" w:rsidP="004114C7">
      <w:pPr>
        <w:spacing w:after="0" w:line="240" w:lineRule="auto"/>
        <w:jc w:val="both"/>
        <w:rPr>
          <w:sz w:val="20"/>
          <w:szCs w:val="20"/>
        </w:rPr>
      </w:pPr>
      <w:r w:rsidRPr="00943997">
        <w:rPr>
          <w:sz w:val="20"/>
        </w:rPr>
        <w:t>Plus de 6 100 collaboratrices et collaborateurs répartis dans le monde, 89 % du chiffre d’affaires exporté à l’heure actuelle et 1 366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66177D9A" w14:textId="2E3A5D74" w:rsidR="00EC6E68" w:rsidRPr="00943997" w:rsidRDefault="00EC6E68" w:rsidP="004114C7">
      <w:pPr>
        <w:jc w:val="both"/>
        <w:rPr>
          <w:sz w:val="20"/>
          <w:szCs w:val="20"/>
        </w:rPr>
      </w:pPr>
    </w:p>
    <w:p w14:paraId="79CF0B46" w14:textId="77777777" w:rsidR="002E179E" w:rsidRPr="002F207D" w:rsidRDefault="002E179E" w:rsidP="002E179E">
      <w:pPr>
        <w:pStyle w:val="berschrift4"/>
        <w:jc w:val="both"/>
        <w:rPr>
          <w:sz w:val="20"/>
          <w:szCs w:val="20"/>
        </w:rPr>
      </w:pPr>
      <w:r>
        <w:rPr>
          <w:sz w:val="20"/>
        </w:rPr>
        <w:t>Demandes d’informations</w:t>
      </w:r>
    </w:p>
    <w:p w14:paraId="16F07358" w14:textId="77777777" w:rsidR="002E179E" w:rsidRPr="0015484D" w:rsidRDefault="002E179E" w:rsidP="002E179E">
      <w:pPr>
        <w:rPr>
          <w:sz w:val="20"/>
          <w:szCs w:val="20"/>
        </w:rPr>
      </w:pPr>
      <w:r>
        <w:rPr>
          <w:sz w:val="20"/>
        </w:rPr>
        <w:t xml:space="preserve">Fronius International GmbH, Andrea SCHARTNER, +43 664 88536765, </w:t>
      </w:r>
      <w:hyperlink r:id="rId10" w:history="1">
        <w:r>
          <w:rPr>
            <w:rStyle w:val="Hyperlink"/>
            <w:sz w:val="20"/>
          </w:rPr>
          <w:t>schartner.andrea@fronius.com</w:t>
        </w:r>
      </w:hyperlink>
      <w:r>
        <w:rPr>
          <w:sz w:val="20"/>
        </w:rPr>
        <w:t>, Froniusplatz 1, 4600 Wels, Autriche</w:t>
      </w:r>
    </w:p>
    <w:p w14:paraId="2185B4A3" w14:textId="77777777" w:rsidR="002E179E" w:rsidRPr="00C10DC9" w:rsidRDefault="002E179E" w:rsidP="002E179E">
      <w:pPr>
        <w:rPr>
          <w:rFonts w:eastAsia="Times New Roman" w:cs="Arial"/>
          <w:szCs w:val="20"/>
          <w:lang w:eastAsia="de-DE"/>
        </w:rPr>
      </w:pPr>
      <w:r w:rsidRPr="00E42FCC">
        <w:rPr>
          <w:sz w:val="20"/>
        </w:rPr>
        <w:t xml:space="preserve">Angelique SAGHERIAN, + 33 787 548062, </w:t>
      </w:r>
      <w:hyperlink r:id="rId11" w:history="1">
        <w:r w:rsidRPr="00E42FCC">
          <w:rPr>
            <w:rStyle w:val="Hyperlink"/>
            <w:sz w:val="20"/>
            <w:szCs w:val="20"/>
          </w:rPr>
          <w:t>sagherian.angelique@fronius.com</w:t>
        </w:r>
      </w:hyperlink>
      <w:r w:rsidRPr="00E42FCC">
        <w:rPr>
          <w:sz w:val="20"/>
        </w:rPr>
        <w:t>, ZAC du Moulin 8, rue du Meunier / BP 14061, 95723 Roissy CDG Cedex, France</w:t>
      </w:r>
    </w:p>
    <w:p w14:paraId="216F9780" w14:textId="77777777" w:rsidR="002E179E" w:rsidRDefault="002E179E" w:rsidP="002E179E">
      <w:pPr>
        <w:spacing w:before="40" w:after="40" w:line="240" w:lineRule="auto"/>
        <w:rPr>
          <w:color w:val="000000" w:themeColor="text1"/>
          <w:sz w:val="20"/>
          <w:u w:val="single"/>
        </w:rPr>
      </w:pPr>
    </w:p>
    <w:p w14:paraId="5113CB83" w14:textId="77777777" w:rsidR="002E179E" w:rsidRDefault="002E179E" w:rsidP="002E179E">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a1kommunikation Schweizer GmbH, Rüdiger KEMPA,</w:t>
      </w:r>
      <w:r>
        <w:rPr>
          <w:sz w:val="20"/>
        </w:rPr>
        <w:br/>
      </w:r>
      <w:hyperlink r:id="rId12" w:history="1">
        <w:r>
          <w:rPr>
            <w:rStyle w:val="Hyperlink"/>
            <w:sz w:val="20"/>
          </w:rPr>
          <w:t>rke@a1kommunikation.de</w:t>
        </w:r>
      </w:hyperlink>
    </w:p>
    <w:p w14:paraId="7F733B66" w14:textId="77777777" w:rsidR="002E179E" w:rsidRPr="00C52F19" w:rsidRDefault="002E179E" w:rsidP="002E179E">
      <w:pPr>
        <w:spacing w:before="40" w:after="40" w:line="240" w:lineRule="auto"/>
        <w:rPr>
          <w:color w:val="0563C1" w:themeColor="hyperlink"/>
          <w:sz w:val="20"/>
          <w:szCs w:val="20"/>
          <w:u w:val="single"/>
        </w:rPr>
      </w:pPr>
      <w:r>
        <w:rPr>
          <w:sz w:val="20"/>
        </w:rPr>
        <w:lastRenderedPageBreak/>
        <w:t>Oberdorfstraße 31 A, 70794 Filderstadt, Allemagne</w:t>
      </w:r>
    </w:p>
    <w:p w14:paraId="02BABDF5" w14:textId="77777777" w:rsidR="002E179E" w:rsidRDefault="002E179E" w:rsidP="002E179E">
      <w:pPr>
        <w:jc w:val="both"/>
        <w:rPr>
          <w:sz w:val="16"/>
          <w:szCs w:val="16"/>
        </w:rPr>
      </w:pPr>
    </w:p>
    <w:p w14:paraId="511603E5" w14:textId="77777777" w:rsidR="002E179E" w:rsidRPr="00604BFB" w:rsidRDefault="002E179E" w:rsidP="002E179E">
      <w:pPr>
        <w:jc w:val="both"/>
        <w:rPr>
          <w:sz w:val="16"/>
          <w:szCs w:val="16"/>
        </w:rPr>
      </w:pPr>
      <w:r>
        <w:rPr>
          <w:sz w:val="16"/>
        </w:rPr>
        <w:t xml:space="preserve">Si vous ne souhaitez plus recevoir de communiqués de presse de la Business Unit Solar Energy de Fronius International GmbH, répondez UNSUBSCRIBE à l’adresse e-mail </w:t>
      </w:r>
      <w:hyperlink r:id="rId13" w:history="1">
        <w:r>
          <w:rPr>
            <w:rStyle w:val="Hyperlink"/>
            <w:sz w:val="16"/>
          </w:rPr>
          <w:t>cancellation@fronius.com</w:t>
        </w:r>
      </w:hyperlink>
      <w:r>
        <w:rPr>
          <w:sz w:val="16"/>
        </w:rPr>
        <w:t>.</w:t>
      </w:r>
    </w:p>
    <w:p w14:paraId="790215F6" w14:textId="0881E230" w:rsidR="00670F02" w:rsidRPr="00943997" w:rsidRDefault="00670F02" w:rsidP="004114C7">
      <w:pPr>
        <w:jc w:val="both"/>
        <w:rPr>
          <w:sz w:val="16"/>
          <w:szCs w:val="16"/>
        </w:rPr>
      </w:pPr>
    </w:p>
    <w:sectPr w:rsidR="00670F02" w:rsidRPr="00943997">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0C6AF4"/>
    <w:multiLevelType w:val="hybridMultilevel"/>
    <w:tmpl w:val="E0E8BBBA"/>
    <w:lvl w:ilvl="0" w:tplc="28EAFDE6">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C927CD8"/>
    <w:multiLevelType w:val="hybridMultilevel"/>
    <w:tmpl w:val="8034AAE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10" w15:restartNumberingAfterBreak="0">
    <w:nsid w:val="6CCC0A19"/>
    <w:multiLevelType w:val="hybridMultilevel"/>
    <w:tmpl w:val="2904DE92"/>
    <w:lvl w:ilvl="0" w:tplc="27263A04">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1" w15:restartNumberingAfterBreak="0">
    <w:nsid w:val="76335ACA"/>
    <w:multiLevelType w:val="hybridMultilevel"/>
    <w:tmpl w:val="C36ECEF4"/>
    <w:lvl w:ilvl="0" w:tplc="BC94340A">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934627045">
    <w:abstractNumId w:val="9"/>
  </w:num>
  <w:num w:numId="10" w16cid:durableId="98181291">
    <w:abstractNumId w:val="2"/>
  </w:num>
  <w:num w:numId="11" w16cid:durableId="2002657185">
    <w:abstractNumId w:val="10"/>
  </w:num>
  <w:num w:numId="12" w16cid:durableId="674766699">
    <w:abstractNumId w:val="2"/>
  </w:num>
  <w:num w:numId="13" w16cid:durableId="162359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C153C"/>
    <w:rsid w:val="00102F0B"/>
    <w:rsid w:val="00142922"/>
    <w:rsid w:val="0015484D"/>
    <w:rsid w:val="001668E3"/>
    <w:rsid w:val="00186A01"/>
    <w:rsid w:val="00196F99"/>
    <w:rsid w:val="001A34C4"/>
    <w:rsid w:val="001B4713"/>
    <w:rsid w:val="00202BA1"/>
    <w:rsid w:val="00232002"/>
    <w:rsid w:val="0024308B"/>
    <w:rsid w:val="00266853"/>
    <w:rsid w:val="00282219"/>
    <w:rsid w:val="002D1A31"/>
    <w:rsid w:val="002D7A44"/>
    <w:rsid w:val="002E179E"/>
    <w:rsid w:val="002E4785"/>
    <w:rsid w:val="002E5990"/>
    <w:rsid w:val="002F207D"/>
    <w:rsid w:val="00322E3F"/>
    <w:rsid w:val="003405C8"/>
    <w:rsid w:val="003E01EF"/>
    <w:rsid w:val="003E6855"/>
    <w:rsid w:val="00403C78"/>
    <w:rsid w:val="004114C7"/>
    <w:rsid w:val="00414868"/>
    <w:rsid w:val="00424297"/>
    <w:rsid w:val="00432D24"/>
    <w:rsid w:val="0044171E"/>
    <w:rsid w:val="004420B7"/>
    <w:rsid w:val="00451F65"/>
    <w:rsid w:val="00455012"/>
    <w:rsid w:val="00455E69"/>
    <w:rsid w:val="00457B9C"/>
    <w:rsid w:val="00470A9D"/>
    <w:rsid w:val="004C4217"/>
    <w:rsid w:val="004C4BB8"/>
    <w:rsid w:val="0051114E"/>
    <w:rsid w:val="00512C4C"/>
    <w:rsid w:val="00516171"/>
    <w:rsid w:val="00582BF5"/>
    <w:rsid w:val="005A26BF"/>
    <w:rsid w:val="005C64F3"/>
    <w:rsid w:val="00604BFB"/>
    <w:rsid w:val="00651247"/>
    <w:rsid w:val="00670F02"/>
    <w:rsid w:val="006747BA"/>
    <w:rsid w:val="00683D0B"/>
    <w:rsid w:val="00697CB0"/>
    <w:rsid w:val="006D090B"/>
    <w:rsid w:val="006D12A4"/>
    <w:rsid w:val="006D2AEF"/>
    <w:rsid w:val="006D6430"/>
    <w:rsid w:val="0070153C"/>
    <w:rsid w:val="00702F8C"/>
    <w:rsid w:val="00703F47"/>
    <w:rsid w:val="00716094"/>
    <w:rsid w:val="00730C60"/>
    <w:rsid w:val="00771381"/>
    <w:rsid w:val="00776FD4"/>
    <w:rsid w:val="00790E0A"/>
    <w:rsid w:val="007A3B74"/>
    <w:rsid w:val="007A57E3"/>
    <w:rsid w:val="007C61B7"/>
    <w:rsid w:val="007D62A9"/>
    <w:rsid w:val="007F7C1B"/>
    <w:rsid w:val="007F7DF6"/>
    <w:rsid w:val="00816914"/>
    <w:rsid w:val="00831633"/>
    <w:rsid w:val="008404EE"/>
    <w:rsid w:val="00856D43"/>
    <w:rsid w:val="008C5190"/>
    <w:rsid w:val="008D7983"/>
    <w:rsid w:val="008E1774"/>
    <w:rsid w:val="008F4ED5"/>
    <w:rsid w:val="00906679"/>
    <w:rsid w:val="00910F60"/>
    <w:rsid w:val="00943997"/>
    <w:rsid w:val="00962B6D"/>
    <w:rsid w:val="00963BB4"/>
    <w:rsid w:val="00987A0F"/>
    <w:rsid w:val="009D0E41"/>
    <w:rsid w:val="00A160E0"/>
    <w:rsid w:val="00A66F74"/>
    <w:rsid w:val="00A67364"/>
    <w:rsid w:val="00A70142"/>
    <w:rsid w:val="00A8475B"/>
    <w:rsid w:val="00A91E1C"/>
    <w:rsid w:val="00AD47F0"/>
    <w:rsid w:val="00AE7975"/>
    <w:rsid w:val="00AF5F74"/>
    <w:rsid w:val="00B20598"/>
    <w:rsid w:val="00B25C3B"/>
    <w:rsid w:val="00B309A8"/>
    <w:rsid w:val="00B521D7"/>
    <w:rsid w:val="00B52F2E"/>
    <w:rsid w:val="00B54547"/>
    <w:rsid w:val="00B57CCE"/>
    <w:rsid w:val="00B8257D"/>
    <w:rsid w:val="00B93262"/>
    <w:rsid w:val="00B9391E"/>
    <w:rsid w:val="00B94D0E"/>
    <w:rsid w:val="00BA1797"/>
    <w:rsid w:val="00BB6194"/>
    <w:rsid w:val="00BC255A"/>
    <w:rsid w:val="00C17BEE"/>
    <w:rsid w:val="00C23813"/>
    <w:rsid w:val="00C44B9C"/>
    <w:rsid w:val="00C505D8"/>
    <w:rsid w:val="00C909FA"/>
    <w:rsid w:val="00C921A2"/>
    <w:rsid w:val="00CA56AD"/>
    <w:rsid w:val="00CB1448"/>
    <w:rsid w:val="00CC0612"/>
    <w:rsid w:val="00D0522E"/>
    <w:rsid w:val="00D05566"/>
    <w:rsid w:val="00D60F80"/>
    <w:rsid w:val="00D61309"/>
    <w:rsid w:val="00D77E57"/>
    <w:rsid w:val="00DA0502"/>
    <w:rsid w:val="00DE0BD2"/>
    <w:rsid w:val="00DE201A"/>
    <w:rsid w:val="00DF5290"/>
    <w:rsid w:val="00E026C1"/>
    <w:rsid w:val="00E319B3"/>
    <w:rsid w:val="00E44194"/>
    <w:rsid w:val="00E536B5"/>
    <w:rsid w:val="00E701CE"/>
    <w:rsid w:val="00E83DD7"/>
    <w:rsid w:val="00E9591C"/>
    <w:rsid w:val="00EA26EC"/>
    <w:rsid w:val="00EC6E68"/>
    <w:rsid w:val="00ED5549"/>
    <w:rsid w:val="00EF7C18"/>
    <w:rsid w:val="00F0695A"/>
    <w:rsid w:val="00F47C27"/>
    <w:rsid w:val="00F74106"/>
    <w:rsid w:val="00F8214B"/>
    <w:rsid w:val="00FD0EE7"/>
    <w:rsid w:val="00FD11E6"/>
    <w:rsid w:val="00FD50E0"/>
    <w:rsid w:val="00FE3F42"/>
    <w:rsid w:val="00FE5AD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E01EF"/>
    <w:rPr>
      <w:sz w:val="16"/>
      <w:szCs w:val="16"/>
    </w:rPr>
  </w:style>
  <w:style w:type="paragraph" w:styleId="Kommentartext">
    <w:name w:val="annotation text"/>
    <w:basedOn w:val="Standard"/>
    <w:link w:val="KommentartextZchn"/>
    <w:uiPriority w:val="99"/>
    <w:unhideWhenUsed/>
    <w:rsid w:val="003E01EF"/>
    <w:pPr>
      <w:spacing w:line="240" w:lineRule="auto"/>
    </w:pPr>
    <w:rPr>
      <w:sz w:val="20"/>
      <w:szCs w:val="20"/>
    </w:rPr>
  </w:style>
  <w:style w:type="character" w:customStyle="1" w:styleId="KommentartextZchn">
    <w:name w:val="Kommentartext Zchn"/>
    <w:basedOn w:val="Absatz-Standardschriftart"/>
    <w:link w:val="Kommentartext"/>
    <w:uiPriority w:val="99"/>
    <w:rsid w:val="003E01E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E01EF"/>
    <w:rPr>
      <w:b/>
      <w:bCs/>
    </w:rPr>
  </w:style>
  <w:style w:type="character" w:customStyle="1" w:styleId="KommentarthemaZchn">
    <w:name w:val="Kommentarthema Zchn"/>
    <w:basedOn w:val="KommentartextZchn"/>
    <w:link w:val="Kommentarthema"/>
    <w:uiPriority w:val="99"/>
    <w:semiHidden/>
    <w:rsid w:val="003E01EF"/>
    <w:rPr>
      <w:rFonts w:ascii="Noto Sans" w:hAnsi="Noto Sans"/>
      <w:b/>
      <w:bCs/>
      <w:sz w:val="20"/>
      <w:szCs w:val="20"/>
    </w:rPr>
  </w:style>
  <w:style w:type="paragraph" w:styleId="berarbeitung">
    <w:name w:val="Revision"/>
    <w:hidden/>
    <w:uiPriority w:val="99"/>
    <w:semiHidden/>
    <w:rsid w:val="00F47C2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0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agherian.angelique@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artner.andrea@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Neue Features für den Fronius Wattpilot 2022/11</title_TI_DE>
    <title_TI_NO xmlns="dc0c2c3d-e9fc-4a0d-820b-87ab82e65f20">Pressrelease New features for the Fronius Wattpilot 2022/11 FR</title_TI_NO>
    <Documenttype_PT xmlns="dc0c2c3d-e9fc-4a0d-820b-87ab82e65f20">Comunicado à imprensa</Documenttype_PT>
    <Documenttype_RU xmlns="dc0c2c3d-e9fc-4a0d-820b-87ab82e65f20">Пресс-релиз</Documenttype_RU>
    <title_TI_TR xmlns="dc0c2c3d-e9fc-4a0d-820b-87ab82e65f20">Pressrelease New features for the Fronius Wattpilot 2022/11 FR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New features for the Fronius Wattpilot 2022/11 FR</title_TI_TH>
    <Licence_x0020_information xmlns="dc0c2c3d-e9fc-4a0d-820b-87ab82e65f20">(c) Fronius International</Licence_x0020_information>
    <title_TI_EA xmlns="dc0c2c3d-e9fc-4a0d-820b-87ab82e65f20">Pressrelease New features for the Fronius Wattpilot 2022/11 FR</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New features for the Fronius Wattpilot 2022/11 FR</title_TI_DA>
    <Documenttype_TR xmlns="dc0c2c3d-e9fc-4a0d-820b-87ab82e65f20">Basın bülteni</Documenttype_TR>
    <title_TI_PL xmlns="dc0c2c3d-e9fc-4a0d-820b-87ab82e65f20">Pressrelease New features for the Fronius Wattpilot 2022/11 FR</title_TI_PL>
    <Documenttype_TH xmlns="dc0c2c3d-e9fc-4a0d-820b-87ab82e65f20">ข่าวประชาสัมพันธ์</Documenttype_TH>
    <title_TI_EL xmlns="dc0c2c3d-e9fc-4a0d-820b-87ab82e65f20">Pressrelease New features for the Fronius Wattpilot 2022/11 FR</title_TI_EL>
    <Documenttype_EA xmlns="dc0c2c3d-e9fc-4a0d-820b-87ab82e65f20">Press Release</Documenttype_EA>
    <Web_x0020_Display_x0020_Title_x0020_ET xmlns="dc0c2c3d-e9fc-4a0d-820b-87ab82e65f20">Pressrelease New features for the Fronius Wattpilot 2022/11 FR</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New features for the Fronius Wattpilot 2022/11 FR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New features for the Fronius Wattpilot 2022/11 FR</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C-139020</FileMaster>
    <title_TI_NL xmlns="dc0c2c3d-e9fc-4a0d-820b-87ab82e65f20">Pressrelease New features for the Fronius Wattpilot 2022/11 FR</title_TI_NL>
    <contentservId xmlns="c4543867-fb67-4424-a255-4d54d75e50e3">C-139024</contentservId>
    <title_TI_IT xmlns="dc0c2c3d-e9fc-4a0d-820b-87ab82e65f20">Pressrelease New features for the Fronius Wattpilot 2022/11 FR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New features for the Fronius Wattpilot 2022/11 FR</title_TI_UA>
    <title_TI_JP xmlns="dc0c2c3d-e9fc-4a0d-820b-87ab82e65f20">Pressrelease New features for the Fronius Wattpilot 2022/11 FR</title_TI_JP>
    <Documenttype_NL xmlns="dc0c2c3d-e9fc-4a0d-820b-87ab82e65f20">Persbericht</Documenttype_NL>
    <title_TI_RO xmlns="dc0c2c3d-e9fc-4a0d-820b-87ab82e65f20">Pressrelease New features for the Fronius Wattpilot 2022/11 FR</title_TI_RO>
    <Documenttype_NB xmlns="c4543867-fb67-4424-a255-4d54d75e50e3">Presseinformasjon</Documenttype_NB>
    <title_ti_nb xmlns="dc0c2c3d-e9fc-4a0d-820b-87ab82e65f20" xsi:nil="true"/>
    <title_TI_ES xmlns="dc0c2c3d-e9fc-4a0d-820b-87ab82e65f20">Pressrelease New features for the Fronius Wattpilot 2022/11 FR</title_TI_ES>
    <title_TI_JA xmlns="dc0c2c3d-e9fc-4a0d-820b-87ab82e65f20">Pressrelease New features for the Fronius Wattpilot 2022/11 FR</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Pressrelease New features for the Fronius Wattpilot 2022/11 FR</title_TI_EN>
    <MRMKeyWords xmlns="dc0c2c3d-e9fc-4a0d-820b-87ab82e65f20">#Presse#Solar Energy#Presseaussendung#Fronius#Wattpilot#Ladebox#press#press release#Charging box#</MRMKeyWords>
    <title_ti_zh xmlns="dc0c2c3d-e9fc-4a0d-820b-87ab82e65f20">Pressrelease New features for the Fronius Wattpilot 2022/11 FR</title_ti_zh>
    <MRMID xmlns="dc0c2c3d-e9fc-4a0d-820b-87ab82e65f20">M-193997</MRMID>
    <Documenttype_UK xmlns="c4543867-fb67-4424-a255-4d54d75e50e3">Прес-релізи</Documenttype_UK>
    <title_TI_SK xmlns="dc0c2c3d-e9fc-4a0d-820b-87ab82e65f20">Pressrelease New features for the Fronius Wattpilot 2022/11 FR</title_TI_SK>
    <Documenttype_UA xmlns="dc0c2c3d-e9fc-4a0d-820b-87ab82e65f20">Прес-релізи</Documenttype_UA>
    <title_TI_HU xmlns="dc0c2c3d-e9fc-4a0d-820b-87ab82e65f20">Pressrelease New features for the Fronius Wattpilot 2022/11 FR</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New features for the Fronius Wattpilot 2022/11 FR</title_TI_PT>
    <title_ti_fi xmlns="dc0c2c3d-e9fc-4a0d-820b-87ab82e65f20">Pressrelease New features for the Fronius Wattpilot 2022/11 FR</title_ti_fi>
    <Country xmlns="dc0c2c3d-e9fc-4a0d-820b-87ab82e65f20">
      <Value>17</Value>
    </Country>
    <fro_spid xmlns="dc0c2c3d-e9fc-4a0d-820b-87ab82e65f20">9069;SE</fro_spid>
    <title_TI_RU xmlns="dc0c2c3d-e9fc-4a0d-820b-87ab82e65f20">Pressrelease New features for the Fronius Wattpilot 2022/11 FR</title_TI_RU>
    <Documenttype_JA xmlns="dc0c2c3d-e9fc-4a0d-820b-87ab82e65f20">ニュースリリース</Documenttype_JA>
    <Colour_x0020_space xmlns="dc0c2c3d-e9fc-4a0d-820b-87ab82e65f20" xsi:nil="true"/>
    <title_TI_CS xmlns="dc0c2c3d-e9fc-4a0d-820b-87ab82e65f20">Pressrelease New features for the Fronius Wattpilot 2022/11 FR</title_TI_CS>
    <title_TI_AR xmlns="dc0c2c3d-e9fc-4a0d-820b-87ab82e65f20">Pressrelease New features for the Fronius Wattpilot 2022/11 FR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0405852B-F301-4735-8D11-45D9E9405B75}"/>
</file>

<file path=customXml/itemProps2.xml><?xml version="1.0" encoding="utf-8"?>
<ds:datastoreItem xmlns:ds="http://schemas.openxmlformats.org/officeDocument/2006/customXml" ds:itemID="{EBBA1717-9250-400F-9CA1-30C0452F8EF9}"/>
</file>

<file path=customXml/itemProps3.xml><?xml version="1.0" encoding="utf-8"?>
<ds:datastoreItem xmlns:ds="http://schemas.openxmlformats.org/officeDocument/2006/customXml" ds:itemID="{78338DFE-D218-49C9-8323-1F5B284F9AFC}"/>
</file>

<file path=customXml/itemProps4.xml><?xml version="1.0" encoding="utf-8"?>
<ds:datastoreItem xmlns:ds="http://schemas.openxmlformats.org/officeDocument/2006/customXml" ds:itemID="{7DE364F9-E743-4542-AE2B-150BDC4D7264}"/>
</file>

<file path=customXml/itemProps5.xml><?xml version="1.0" encoding="utf-8"?>
<ds:datastoreItem xmlns:ds="http://schemas.openxmlformats.org/officeDocument/2006/customXml" ds:itemID="{4D52772F-467D-4249-9D55-0EFEAD755B9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923</Words>
  <Characters>5819</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SE_PR_New_features_for_the_Fronius_Wattpilot_FR</dc:title>
  <dc:subject/>
  <dc:creator>Kneringer Daniel</dc:creator>
  <cp:keywords/>
  <dc:description/>
  <cp:lastModifiedBy>Majetic Kristina</cp:lastModifiedBy>
  <cp:revision>7</cp:revision>
  <cp:lastPrinted>2022-10-19T08:02:00Z</cp:lastPrinted>
  <dcterms:created xsi:type="dcterms:W3CDTF">2022-10-31T08:35:00Z</dcterms:created>
  <dcterms:modified xsi:type="dcterms:W3CDTF">2022-11-22T14:27:00Z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