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445CCD" w:rsidRDefault="00ED5549" w:rsidP="00604BFB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445CCD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445CCD" w:rsidRDefault="00ED5549" w:rsidP="00604BFB">
      <w:pPr>
        <w:pStyle w:val="berschrift1"/>
        <w:jc w:val="both"/>
      </w:pPr>
      <w:r w:rsidRPr="00445CCD">
        <w:t>Comunicado à imprensa</w:t>
      </w:r>
    </w:p>
    <w:p w14:paraId="07CB8F03" w14:textId="06F6FC04" w:rsidR="00ED5549" w:rsidRPr="00445CCD" w:rsidRDefault="0051114E" w:rsidP="00604BFB">
      <w:pPr>
        <w:jc w:val="both"/>
      </w:pPr>
      <w:r w:rsidRPr="00445CCD">
        <w:rPr>
          <w:sz w:val="20"/>
        </w:rPr>
        <w:t>Solar Energy</w:t>
      </w:r>
    </w:p>
    <w:p w14:paraId="3EF5C6DD" w14:textId="6608F6CF" w:rsidR="00ED5549" w:rsidRPr="00445CCD" w:rsidRDefault="00ED5549" w:rsidP="00604BFB">
      <w:pPr>
        <w:jc w:val="both"/>
        <w:rPr>
          <w:sz w:val="20"/>
          <w:szCs w:val="20"/>
        </w:rPr>
      </w:pPr>
    </w:p>
    <w:p w14:paraId="00F13E77" w14:textId="77777777" w:rsidR="00E83DD7" w:rsidRPr="00445CCD" w:rsidRDefault="00E83DD7" w:rsidP="00604BFB">
      <w:pPr>
        <w:jc w:val="both"/>
        <w:rPr>
          <w:sz w:val="20"/>
          <w:szCs w:val="20"/>
        </w:rPr>
      </w:pPr>
    </w:p>
    <w:p w14:paraId="4F8F137E" w14:textId="0EEE1F1D" w:rsidR="006D6430" w:rsidRPr="00445CCD" w:rsidRDefault="00A52F69" w:rsidP="00604BFB">
      <w:pPr>
        <w:pStyle w:val="HeadlineGreen"/>
        <w:jc w:val="both"/>
        <w:rPr>
          <w:color w:val="auto"/>
          <w:sz w:val="22"/>
          <w:szCs w:val="20"/>
        </w:rPr>
      </w:pPr>
      <w:r w:rsidRPr="00445CCD">
        <w:rPr>
          <w:color w:val="auto"/>
          <w:sz w:val="22"/>
        </w:rPr>
        <w:t>30 anos da Fronius Solar Energy</w:t>
      </w:r>
    </w:p>
    <w:p w14:paraId="726FD8A5" w14:textId="185CA760" w:rsidR="002D7A44" w:rsidRPr="00445CCD" w:rsidRDefault="00B66863" w:rsidP="00604BFB">
      <w:pPr>
        <w:pStyle w:val="berschrift2"/>
        <w:jc w:val="both"/>
        <w:rPr>
          <w:color w:val="auto"/>
          <w:sz w:val="32"/>
          <w:szCs w:val="28"/>
        </w:rPr>
      </w:pPr>
      <w:r w:rsidRPr="00445CCD">
        <w:rPr>
          <w:color w:val="auto"/>
          <w:sz w:val="32"/>
        </w:rPr>
        <w:t>Metas elevadas e crescimento sustentável</w:t>
      </w:r>
    </w:p>
    <w:p w14:paraId="2CC4F935" w14:textId="77777777" w:rsidR="00ED5549" w:rsidRPr="00445CCD" w:rsidRDefault="00ED5549" w:rsidP="00604BFB">
      <w:pPr>
        <w:jc w:val="both"/>
        <w:rPr>
          <w:sz w:val="20"/>
          <w:szCs w:val="20"/>
        </w:rPr>
      </w:pPr>
    </w:p>
    <w:p w14:paraId="47D72435" w14:textId="111BDF3A" w:rsidR="001668E3" w:rsidRPr="00445CCD" w:rsidRDefault="00ED5549" w:rsidP="00DB4CF3">
      <w:pPr>
        <w:jc w:val="both"/>
        <w:rPr>
          <w:sz w:val="24"/>
          <w:szCs w:val="24"/>
        </w:rPr>
      </w:pPr>
      <w:r w:rsidRPr="00445CCD">
        <w:rPr>
          <w:sz w:val="24"/>
        </w:rPr>
        <w:t>(Wels, 09.02.2023) Desde 1992, a Fronius Solar Energy desenvolve produtos e soluções inovadoras para gerar, armazenar, distribuir e consumir energia solar de forma econômica e inteligente. Também estabelecemos metas elevadas para os próximos anos. O crescimento sustentável, o valor agregado na Europa e o contínuo desenvolvimento de produtos e soluções estão em primeiro plano.</w:t>
      </w:r>
    </w:p>
    <w:p w14:paraId="2394DF3F" w14:textId="77777777" w:rsidR="003E6855" w:rsidRPr="00445CCD" w:rsidRDefault="003E6855" w:rsidP="00604BFB">
      <w:pPr>
        <w:jc w:val="both"/>
        <w:rPr>
          <w:sz w:val="20"/>
          <w:szCs w:val="20"/>
        </w:rPr>
      </w:pPr>
    </w:p>
    <w:p w14:paraId="582041D6" w14:textId="44048003" w:rsidR="00402AA3" w:rsidRPr="00445CCD" w:rsidRDefault="00243F1D" w:rsidP="00604BFB">
      <w:pPr>
        <w:jc w:val="both"/>
        <w:rPr>
          <w:sz w:val="20"/>
          <w:szCs w:val="20"/>
        </w:rPr>
      </w:pPr>
      <w:r w:rsidRPr="00445CCD">
        <w:t>As metas para 2023 são claras: 3.000 inversores Fronius devem ser instalados por dia até o final do ano</w:t>
      </w:r>
      <w:r w:rsidRPr="00445CCD">
        <w:rPr>
          <w:sz w:val="20"/>
        </w:rPr>
        <w:t xml:space="preserve">. </w:t>
      </w:r>
      <w:bookmarkStart w:id="0" w:name="_Hlk124854438"/>
      <w:r w:rsidRPr="00445CCD">
        <w:t>Isto significa que a Fronius Solar Energy terá instalado 35 GW de potência desde que o primeiro Fronius Sunrise</w:t>
      </w:r>
      <w:r w:rsidRPr="00445CCD">
        <w:rPr>
          <w:vertAlign w:val="superscript"/>
        </w:rPr>
        <w:t>1</w:t>
      </w:r>
      <w:r w:rsidRPr="00445CCD">
        <w:t xml:space="preserve"> foi vendido. São 3,9 milhões de inversores que irão gerar 46,8 TWh de energia verde anualmente, o equivalente a 44 usinas hidrelétricas²</w:t>
      </w:r>
      <w:r w:rsidRPr="00445CCD">
        <w:rPr>
          <w:sz w:val="20"/>
        </w:rPr>
        <w:t xml:space="preserve">. </w:t>
      </w:r>
      <w:bookmarkEnd w:id="0"/>
    </w:p>
    <w:p w14:paraId="4A0AE168" w14:textId="7BAFCA27" w:rsidR="00243F1D" w:rsidRPr="00445CCD" w:rsidRDefault="00243F1D" w:rsidP="00604BFB">
      <w:pPr>
        <w:jc w:val="both"/>
        <w:rPr>
          <w:sz w:val="20"/>
          <w:szCs w:val="20"/>
        </w:rPr>
      </w:pPr>
      <w:bookmarkStart w:id="1" w:name="_Hlk124325165"/>
      <w:r w:rsidRPr="00445CCD">
        <w:t xml:space="preserve">Martin Hackl, Diretor Global de Vendas e Marketing da Unidade de Negócios Solar Energy da Fronius International GmbH, </w:t>
      </w:r>
      <w:bookmarkEnd w:id="1"/>
      <w:r w:rsidRPr="00445CCD">
        <w:t>já prevê claramente os planos para os próximos anos:</w:t>
      </w:r>
      <w:r w:rsidRPr="00445CCD">
        <w:rPr>
          <w:sz w:val="20"/>
        </w:rPr>
        <w:t xml:space="preserve"> </w:t>
      </w:r>
      <w:r w:rsidRPr="00445CCD">
        <w:rPr>
          <w:i/>
          <w:sz w:val="20"/>
        </w:rPr>
        <w:t xml:space="preserve">„Nosso objetivo é uma profunda rede digital e funcional dos sistemas Fronius com produtos de acoplamento do setor, a fim de trazer ainda mais sol para as áreas de aquecimento, resfriamento e mobilidade. Isto garante o caminho em direção a 24 horas de sol.“ </w:t>
      </w:r>
      <w:r w:rsidRPr="00445CCD">
        <w:rPr>
          <w:sz w:val="20"/>
        </w:rPr>
        <w:t>Encontrar soluções voltadas para o futuro para desafios técnicos tem sido o lema da empresa familiar austríaca desde o início.</w:t>
      </w:r>
    </w:p>
    <w:p w14:paraId="735FC345" w14:textId="12E8FFBE" w:rsidR="00EF6255" w:rsidRPr="00445CCD" w:rsidRDefault="00B15E79" w:rsidP="00604BFB">
      <w:pPr>
        <w:jc w:val="both"/>
        <w:rPr>
          <w:sz w:val="20"/>
          <w:szCs w:val="20"/>
        </w:rPr>
      </w:pPr>
      <w:r w:rsidRPr="00445CCD">
        <w:rPr>
          <w:sz w:val="20"/>
        </w:rPr>
        <w:t>O constante desenvolvimento de produtos e soluções, bem como o forte foco em sustentabilidade e na criação  de soluções europeias com valor agregado estão em primeiro plano. Isso também pode ser comprovado pelos mais recentes desenvolvimentos:</w:t>
      </w:r>
    </w:p>
    <w:p w14:paraId="286ED61B" w14:textId="76E4643B" w:rsidR="00D81F9F" w:rsidRPr="00445CCD" w:rsidRDefault="00EC5B3C" w:rsidP="00D81F9F">
      <w:pPr>
        <w:jc w:val="both"/>
        <w:rPr>
          <w:sz w:val="20"/>
          <w:szCs w:val="20"/>
          <w:u w:val="single"/>
        </w:rPr>
      </w:pPr>
      <w:r w:rsidRPr="00445CCD">
        <w:rPr>
          <w:sz w:val="20"/>
          <w:u w:val="single"/>
        </w:rPr>
        <w:t xml:space="preserve">Nova versão do </w:t>
      </w:r>
      <w:r w:rsidR="009D35E0">
        <w:rPr>
          <w:sz w:val="20"/>
          <w:u w:val="single"/>
        </w:rPr>
        <w:t xml:space="preserve">Fronius </w:t>
      </w:r>
      <w:r w:rsidRPr="00445CCD">
        <w:rPr>
          <w:sz w:val="20"/>
          <w:u w:val="single"/>
        </w:rPr>
        <w:t>Tauro</w:t>
      </w:r>
    </w:p>
    <w:p w14:paraId="0B342BA5" w14:textId="160D8F86" w:rsidR="00DA2ED8" w:rsidRPr="00445CCD" w:rsidRDefault="005E36D5" w:rsidP="00D81F9F">
      <w:pPr>
        <w:jc w:val="both"/>
        <w:rPr>
          <w:sz w:val="20"/>
          <w:szCs w:val="20"/>
        </w:rPr>
      </w:pPr>
      <w:r w:rsidRPr="00445CCD">
        <w:rPr>
          <w:sz w:val="20"/>
        </w:rPr>
        <w:t>A nova versão de 30 amperes do Fronius Tauro³ estará disponível a partir de fevereiro de 2023, oferecendo uma solução para o número sempre crescente de módulos de alta corrente. Estes são módulos PV com wafers solares avançados que transportam mais corrente e, portanto, ajudam a reduzir os custos do sistema. Máxima flexibilidade no projeto do sistema e com custos operacionais gerais mínimos – é isso que a nova variante Tauro também representa.</w:t>
      </w:r>
    </w:p>
    <w:p w14:paraId="53280E4D" w14:textId="77777777" w:rsidR="00A94F59" w:rsidRPr="00445CCD" w:rsidRDefault="00A94F59" w:rsidP="00D81F9F">
      <w:pPr>
        <w:jc w:val="both"/>
        <w:rPr>
          <w:sz w:val="20"/>
          <w:szCs w:val="20"/>
        </w:rPr>
      </w:pPr>
    </w:p>
    <w:p w14:paraId="3E954B53" w14:textId="2D032E97" w:rsidR="00EC5B3C" w:rsidRPr="00445CCD" w:rsidRDefault="00097CDA" w:rsidP="00D81F9F">
      <w:pPr>
        <w:jc w:val="both"/>
        <w:rPr>
          <w:sz w:val="20"/>
          <w:szCs w:val="20"/>
          <w:u w:val="single"/>
        </w:rPr>
      </w:pPr>
      <w:r w:rsidRPr="00445CCD">
        <w:rPr>
          <w:sz w:val="20"/>
          <w:u w:val="single"/>
        </w:rPr>
        <w:t>Fronius GEN24 Plus - benefícios ambientais de todo o sistema agora ainda maiores</w:t>
      </w:r>
    </w:p>
    <w:p w14:paraId="743C2950" w14:textId="37FDDD8F" w:rsidR="00D81F9F" w:rsidRPr="00445CCD" w:rsidRDefault="00971EAE" w:rsidP="00D81F9F">
      <w:pPr>
        <w:jc w:val="both"/>
        <w:rPr>
          <w:sz w:val="20"/>
          <w:szCs w:val="20"/>
        </w:rPr>
      </w:pPr>
      <w:r w:rsidRPr="00445CCD">
        <w:rPr>
          <w:sz w:val="20"/>
        </w:rPr>
        <w:lastRenderedPageBreak/>
        <w:t xml:space="preserve">Um notório trabalho de sustentabilidade na Fronius é a análise do ciclo de vida (LCA) para o Fronius GEN24 Plus e para o Fronius Tauro. </w:t>
      </w:r>
      <w:r w:rsidRPr="00445CCD">
        <w:rPr>
          <w:i/>
          <w:iCs/>
          <w:sz w:val="20"/>
        </w:rPr>
        <w:t>„Sustentabilidade baseada em evidências é tão importante para nós quanto integrar os resultados no desenvolvimento de produtos para melhorar continuamente nosso desempenho de sustentabilidade“</w:t>
      </w:r>
      <w:r w:rsidRPr="00445CCD">
        <w:rPr>
          <w:sz w:val="20"/>
        </w:rPr>
        <w:t>, diz Katrin Helmberger, diretora de sustentabilidade corporativa da Fronius International GmbH. A atualização dos dados é de grande relevância, por isso as análises de ciclo de vida são atualizadas conforme necessário.</w:t>
      </w:r>
    </w:p>
    <w:p w14:paraId="0BC3BF17" w14:textId="2132150A" w:rsidR="00B46B7B" w:rsidRPr="00445CCD" w:rsidRDefault="00971EAE" w:rsidP="00B46B7B">
      <w:pPr>
        <w:jc w:val="both"/>
        <w:rPr>
          <w:rFonts w:cs="Noto Sans"/>
          <w:i/>
          <w:iCs/>
          <w:sz w:val="20"/>
          <w:szCs w:val="20"/>
        </w:rPr>
      </w:pPr>
      <w:r w:rsidRPr="00445CCD">
        <w:rPr>
          <w:sz w:val="20"/>
        </w:rPr>
        <w:t>Os últimos cálculos do Fronius GEN24 Plus LCA mostram que o benefício ambiental do sistema geral até melhorou. O tempo de retorno de CO</w:t>
      </w:r>
      <w:r w:rsidRPr="00445CCD">
        <w:rPr>
          <w:sz w:val="20"/>
          <w:vertAlign w:val="subscript"/>
        </w:rPr>
        <w:t>2e</w:t>
      </w:r>
      <w:r w:rsidRPr="00445CCD">
        <w:rPr>
          <w:sz w:val="20"/>
        </w:rPr>
        <w:t xml:space="preserve"> foi reduzido de 1,2 para 5,5 anos para 0,7 para 3,3 anos</w:t>
      </w:r>
      <w:r w:rsidRPr="00445CCD">
        <w:rPr>
          <w:sz w:val="20"/>
          <w:vertAlign w:val="superscript"/>
        </w:rPr>
        <w:t>4</w:t>
      </w:r>
      <w:r w:rsidRPr="00445CCD">
        <w:rPr>
          <w:sz w:val="20"/>
        </w:rPr>
        <w:t>.</w:t>
      </w:r>
    </w:p>
    <w:p w14:paraId="0CCF2CDC" w14:textId="3092A1B4" w:rsidR="00971EAE" w:rsidRPr="00445CCD" w:rsidRDefault="005923B9" w:rsidP="00D81F9F">
      <w:pPr>
        <w:jc w:val="both"/>
        <w:rPr>
          <w:sz w:val="20"/>
          <w:szCs w:val="20"/>
        </w:rPr>
      </w:pPr>
      <w:r w:rsidRPr="00445CCD">
        <w:rPr>
          <w:sz w:val="20"/>
        </w:rPr>
        <w:t xml:space="preserve">O nosso objetivo é a descarbonização completa de todas as instalações corporativas da Fronius até 2025. Além disso, já usamos 100% de eletricidade verde na Fronius e também reduzimos pela metade a intensidade dos gases de efeito estufa no período de 2014 a 2021. </w:t>
      </w:r>
      <w:r w:rsidRPr="00445CCD">
        <w:rPr>
          <w:i/>
          <w:iCs/>
          <w:sz w:val="20"/>
        </w:rPr>
        <w:t>„Estes são resultados dos quais devemos nos orgulhar. Nós nos concentramos em planejar e implementar medidas técnicas e organizacionais ao invés de compensar as emissões“</w:t>
      </w:r>
      <w:r w:rsidRPr="00445CCD">
        <w:rPr>
          <w:sz w:val="20"/>
        </w:rPr>
        <w:t>, explica Helmberger.</w:t>
      </w:r>
    </w:p>
    <w:p w14:paraId="597DB150" w14:textId="77777777" w:rsidR="00EB1D30" w:rsidRPr="00445CCD" w:rsidRDefault="00EB1D30" w:rsidP="00D81F9F">
      <w:pPr>
        <w:jc w:val="both"/>
        <w:rPr>
          <w:sz w:val="20"/>
          <w:szCs w:val="20"/>
        </w:rPr>
      </w:pPr>
    </w:p>
    <w:p w14:paraId="2A128D8A" w14:textId="7546F525" w:rsidR="00CF63C4" w:rsidRPr="00445CCD" w:rsidRDefault="0026515D" w:rsidP="00CF63C4">
      <w:pPr>
        <w:autoSpaceDE w:val="0"/>
        <w:autoSpaceDN w:val="0"/>
        <w:adjustRightInd w:val="0"/>
        <w:spacing w:after="0" w:line="240" w:lineRule="auto"/>
        <w:rPr>
          <w:sz w:val="16"/>
          <w:szCs w:val="16"/>
        </w:rPr>
      </w:pPr>
      <w:r w:rsidRPr="00445CCD">
        <w:rPr>
          <w:sz w:val="16"/>
          <w:vertAlign w:val="superscript"/>
        </w:rPr>
        <w:t xml:space="preserve">1 </w:t>
      </w:r>
      <w:r w:rsidRPr="00445CCD">
        <w:rPr>
          <w:sz w:val="16"/>
        </w:rPr>
        <w:t>Pequenos sistemas fotovoltaicos com tamanho entre 600 Wp e 1.400 Wp foram implementados com o Fronius Sunrise.</w:t>
      </w:r>
    </w:p>
    <w:p w14:paraId="0F27EECA" w14:textId="47CDD9BF" w:rsidR="009A3D25" w:rsidRPr="00445CCD" w:rsidRDefault="009A3D25" w:rsidP="00CF63C4">
      <w:pPr>
        <w:autoSpaceDE w:val="0"/>
        <w:autoSpaceDN w:val="0"/>
        <w:adjustRightInd w:val="0"/>
        <w:spacing w:after="0" w:line="240" w:lineRule="auto"/>
        <w:rPr>
          <w:sz w:val="16"/>
          <w:szCs w:val="16"/>
        </w:rPr>
      </w:pPr>
      <w:r w:rsidRPr="00445CCD">
        <w:rPr>
          <w:sz w:val="16"/>
          <w:vertAlign w:val="superscript"/>
        </w:rPr>
        <w:t xml:space="preserve">2 </w:t>
      </w:r>
      <w:r w:rsidRPr="00445CCD">
        <w:rPr>
          <w:sz w:val="16"/>
        </w:rPr>
        <w:t xml:space="preserve">Valor comparativo Usina hidrelétrica Danúbio Viena-Freudenau </w:t>
      </w:r>
    </w:p>
    <w:p w14:paraId="55A96AB0" w14:textId="1E080863" w:rsidR="00393D8C" w:rsidRPr="00445CCD" w:rsidRDefault="009A3D25" w:rsidP="00B46B7B">
      <w:pPr>
        <w:spacing w:after="0"/>
        <w:jc w:val="both"/>
        <w:rPr>
          <w:sz w:val="16"/>
          <w:szCs w:val="16"/>
        </w:rPr>
      </w:pPr>
      <w:r w:rsidRPr="00445CCD">
        <w:rPr>
          <w:sz w:val="16"/>
          <w:vertAlign w:val="superscript"/>
        </w:rPr>
        <w:t xml:space="preserve">3 </w:t>
      </w:r>
      <w:r w:rsidRPr="00445CCD">
        <w:rPr>
          <w:sz w:val="16"/>
        </w:rPr>
        <w:t>Versão Fronius Tauro Direct</w:t>
      </w:r>
    </w:p>
    <w:p w14:paraId="365171AC" w14:textId="04524658" w:rsidR="00B46B7B" w:rsidRPr="00445CCD" w:rsidRDefault="00B46B7B" w:rsidP="00B46B7B">
      <w:pPr>
        <w:spacing w:after="0"/>
        <w:jc w:val="both"/>
        <w:rPr>
          <w:sz w:val="16"/>
          <w:szCs w:val="16"/>
        </w:rPr>
      </w:pPr>
      <w:r w:rsidRPr="00445CCD">
        <w:rPr>
          <w:sz w:val="16"/>
          <w:vertAlign w:val="superscript"/>
        </w:rPr>
        <w:t xml:space="preserve">4 </w:t>
      </w:r>
      <w:r w:rsidRPr="00445CCD">
        <w:rPr>
          <w:sz w:val="16"/>
        </w:rPr>
        <w:t>Intervalo: o melhor caso – o pior caso</w:t>
      </w:r>
    </w:p>
    <w:p w14:paraId="27EFE6A5" w14:textId="6B7A8490" w:rsidR="0044171E" w:rsidRDefault="0044171E" w:rsidP="00604BFB">
      <w:pPr>
        <w:jc w:val="both"/>
        <w:rPr>
          <w:sz w:val="20"/>
          <w:szCs w:val="20"/>
          <w:lang w:val="de-AT"/>
        </w:rPr>
      </w:pPr>
    </w:p>
    <w:p w14:paraId="664BFB61" w14:textId="253A4BAD" w:rsidR="00FA65FC" w:rsidRPr="00E53199" w:rsidRDefault="00FA65FC" w:rsidP="00FA65FC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>Palavras: 55</w:t>
      </w:r>
      <w:r w:rsidR="00D236D5">
        <w:rPr>
          <w:sz w:val="20"/>
        </w:rPr>
        <w:t>4</w:t>
      </w:r>
    </w:p>
    <w:p w14:paraId="563C6719" w14:textId="5C326A47" w:rsidR="00FA65FC" w:rsidRDefault="00FA65FC" w:rsidP="00FA65FC">
      <w:pPr>
        <w:spacing w:before="40" w:after="40"/>
        <w:jc w:val="both"/>
        <w:rPr>
          <w:sz w:val="20"/>
        </w:rPr>
      </w:pPr>
      <w:r>
        <w:rPr>
          <w:sz w:val="20"/>
        </w:rPr>
        <w:t>Caracteres: (com espaços) 350</w:t>
      </w:r>
      <w:r w:rsidR="00D236D5">
        <w:rPr>
          <w:sz w:val="20"/>
        </w:rPr>
        <w:t>1</w:t>
      </w:r>
    </w:p>
    <w:p w14:paraId="35FD5478" w14:textId="77777777" w:rsidR="00FA65FC" w:rsidRPr="00FA65FC" w:rsidRDefault="00FA65FC" w:rsidP="00FA65FC">
      <w:pPr>
        <w:spacing w:before="40" w:after="40"/>
        <w:jc w:val="both"/>
        <w:rPr>
          <w:sz w:val="20"/>
          <w:szCs w:val="20"/>
        </w:rPr>
      </w:pPr>
    </w:p>
    <w:p w14:paraId="7EC534EB" w14:textId="78A06791" w:rsidR="00B8257D" w:rsidRPr="00445CCD" w:rsidRDefault="00B8257D" w:rsidP="00604BFB">
      <w:pPr>
        <w:pStyle w:val="berschrift4"/>
        <w:jc w:val="both"/>
        <w:rPr>
          <w:sz w:val="20"/>
          <w:szCs w:val="20"/>
          <w:lang w:val="de-AT"/>
        </w:rPr>
      </w:pPr>
      <w:r w:rsidRPr="00445CCD">
        <w:rPr>
          <w:sz w:val="20"/>
          <w:lang w:val="de-AT"/>
        </w:rPr>
        <w:t>Visão geral do material gráfico</w:t>
      </w:r>
    </w:p>
    <w:p w14:paraId="3DA4F784" w14:textId="77777777" w:rsidR="009F7BDF" w:rsidRPr="00445CCD" w:rsidRDefault="009F7BDF" w:rsidP="00604BFB">
      <w:pPr>
        <w:jc w:val="both"/>
        <w:rPr>
          <w:sz w:val="16"/>
          <w:szCs w:val="16"/>
          <w:lang w:val="de-AT"/>
        </w:rPr>
      </w:pPr>
    </w:p>
    <w:p w14:paraId="48D23DA6" w14:textId="0C542C29" w:rsidR="009F7BDF" w:rsidRPr="00445CCD" w:rsidRDefault="009F7BDF" w:rsidP="00604BFB">
      <w:pPr>
        <w:jc w:val="both"/>
        <w:rPr>
          <w:sz w:val="16"/>
          <w:szCs w:val="16"/>
          <w:lang w:val="de-AT"/>
        </w:rPr>
      </w:pPr>
      <w:r w:rsidRPr="00445CCD">
        <w:rPr>
          <w:noProof/>
          <w:sz w:val="16"/>
        </w:rPr>
        <w:drawing>
          <wp:anchor distT="0" distB="0" distL="114300" distR="114300" simplePos="0" relativeHeight="251668480" behindDoc="1" locked="0" layoutInCell="1" allowOverlap="1" wp14:anchorId="006A1F29" wp14:editId="142EE0F6">
            <wp:simplePos x="0" y="0"/>
            <wp:positionH relativeFrom="margin">
              <wp:align>left</wp:align>
            </wp:positionH>
            <wp:positionV relativeFrom="paragraph">
              <wp:posOffset>7380</wp:posOffset>
            </wp:positionV>
            <wp:extent cx="2186796" cy="1457864"/>
            <wp:effectExtent l="0" t="0" r="4445" b="9525"/>
            <wp:wrapTight wrapText="bothSides">
              <wp:wrapPolygon edited="0">
                <wp:start x="0" y="0"/>
                <wp:lineTo x="0" y="21459"/>
                <wp:lineTo x="21456" y="21459"/>
                <wp:lineTo x="21456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6796" cy="1457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79EC18" w14:textId="77777777" w:rsidR="009F7BDF" w:rsidRPr="00445CCD" w:rsidRDefault="009F7BDF" w:rsidP="00604BFB">
      <w:pPr>
        <w:jc w:val="both"/>
        <w:rPr>
          <w:sz w:val="16"/>
          <w:szCs w:val="16"/>
          <w:lang w:val="de-AT"/>
        </w:rPr>
      </w:pPr>
    </w:p>
    <w:p w14:paraId="6EEF3F3F" w14:textId="77777777" w:rsidR="009F7BDF" w:rsidRPr="00445CCD" w:rsidRDefault="009F7BDF" w:rsidP="00604BFB">
      <w:pPr>
        <w:jc w:val="both"/>
        <w:rPr>
          <w:sz w:val="16"/>
          <w:szCs w:val="16"/>
          <w:lang w:val="de-AT"/>
        </w:rPr>
      </w:pPr>
    </w:p>
    <w:p w14:paraId="7FEEEF6A" w14:textId="77777777" w:rsidR="009F7BDF" w:rsidRPr="00445CCD" w:rsidRDefault="009F7BDF" w:rsidP="00604BFB">
      <w:pPr>
        <w:jc w:val="both"/>
        <w:rPr>
          <w:sz w:val="16"/>
          <w:szCs w:val="16"/>
          <w:lang w:val="de-AT"/>
        </w:rPr>
      </w:pPr>
    </w:p>
    <w:p w14:paraId="22735929" w14:textId="77777777" w:rsidR="00FA65FC" w:rsidRDefault="00FA65FC" w:rsidP="00604BFB">
      <w:pPr>
        <w:jc w:val="both"/>
        <w:rPr>
          <w:sz w:val="16"/>
        </w:rPr>
      </w:pPr>
    </w:p>
    <w:p w14:paraId="5B3D90AE" w14:textId="77777777" w:rsidR="00FA65FC" w:rsidRDefault="00FA65FC" w:rsidP="00604BFB">
      <w:pPr>
        <w:jc w:val="both"/>
        <w:rPr>
          <w:sz w:val="16"/>
        </w:rPr>
      </w:pPr>
    </w:p>
    <w:p w14:paraId="754368C8" w14:textId="3E303A69" w:rsidR="00B8257D" w:rsidRPr="00445CCD" w:rsidRDefault="009F7BDF" w:rsidP="00604BFB">
      <w:pPr>
        <w:jc w:val="both"/>
        <w:rPr>
          <w:sz w:val="20"/>
          <w:szCs w:val="20"/>
        </w:rPr>
      </w:pPr>
      <w:r w:rsidRPr="00445CCD">
        <w:rPr>
          <w:sz w:val="16"/>
        </w:rPr>
        <w:t>Martin Hackl, Diretor Global de Marketing e Vendas, Unidade de Negócios Solar Energy, Fronius International GmbH</w:t>
      </w:r>
      <w:r w:rsidRPr="00445CCD">
        <w:rPr>
          <w:sz w:val="20"/>
        </w:rPr>
        <w:t>.</w:t>
      </w:r>
    </w:p>
    <w:p w14:paraId="1322D035" w14:textId="77777777" w:rsidR="009F7BDF" w:rsidRPr="00445CCD" w:rsidRDefault="009F7BDF" w:rsidP="00604BFB">
      <w:pPr>
        <w:jc w:val="both"/>
        <w:rPr>
          <w:sz w:val="20"/>
          <w:szCs w:val="20"/>
        </w:rPr>
      </w:pPr>
    </w:p>
    <w:p w14:paraId="70036FF3" w14:textId="77777777" w:rsidR="00715E72" w:rsidRPr="00445CCD" w:rsidRDefault="00551A0C" w:rsidP="00604BFB">
      <w:pPr>
        <w:jc w:val="both"/>
        <w:rPr>
          <w:sz w:val="18"/>
          <w:szCs w:val="18"/>
        </w:rPr>
      </w:pPr>
      <w:r w:rsidRPr="00445CCD">
        <w:rPr>
          <w:noProof/>
        </w:rPr>
        <w:drawing>
          <wp:anchor distT="0" distB="0" distL="114300" distR="114300" simplePos="0" relativeHeight="251667456" behindDoc="1" locked="0" layoutInCell="1" allowOverlap="1" wp14:anchorId="04BBF750" wp14:editId="61F3EDE1">
            <wp:simplePos x="0" y="0"/>
            <wp:positionH relativeFrom="column">
              <wp:posOffset>-2648</wp:posOffset>
            </wp:positionH>
            <wp:positionV relativeFrom="paragraph">
              <wp:posOffset>-3570</wp:posOffset>
            </wp:positionV>
            <wp:extent cx="2183243" cy="1449238"/>
            <wp:effectExtent l="0" t="0" r="7620" b="0"/>
            <wp:wrapTight wrapText="bothSides">
              <wp:wrapPolygon edited="0">
                <wp:start x="0" y="0"/>
                <wp:lineTo x="0" y="21297"/>
                <wp:lineTo x="21487" y="21297"/>
                <wp:lineTo x="21487" y="0"/>
                <wp:lineTo x="0" y="0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3243" cy="14492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436294" w14:textId="77777777" w:rsidR="00715E72" w:rsidRPr="00445CCD" w:rsidRDefault="00715E72" w:rsidP="00604BFB">
      <w:pPr>
        <w:jc w:val="both"/>
        <w:rPr>
          <w:sz w:val="18"/>
          <w:szCs w:val="18"/>
        </w:rPr>
      </w:pPr>
    </w:p>
    <w:p w14:paraId="320AEF77" w14:textId="77777777" w:rsidR="00715E72" w:rsidRPr="00445CCD" w:rsidRDefault="00715E72" w:rsidP="00604BFB">
      <w:pPr>
        <w:jc w:val="both"/>
        <w:rPr>
          <w:sz w:val="18"/>
          <w:szCs w:val="18"/>
        </w:rPr>
      </w:pPr>
    </w:p>
    <w:p w14:paraId="2E88BD1F" w14:textId="77777777" w:rsidR="00715E72" w:rsidRPr="00445CCD" w:rsidRDefault="00715E72" w:rsidP="00604BFB">
      <w:pPr>
        <w:jc w:val="both"/>
        <w:rPr>
          <w:sz w:val="18"/>
          <w:szCs w:val="18"/>
        </w:rPr>
      </w:pPr>
    </w:p>
    <w:p w14:paraId="47BBD9BD" w14:textId="77777777" w:rsidR="00FA65FC" w:rsidRDefault="00FA65FC" w:rsidP="00604BFB">
      <w:pPr>
        <w:jc w:val="both"/>
        <w:rPr>
          <w:sz w:val="16"/>
        </w:rPr>
      </w:pPr>
    </w:p>
    <w:p w14:paraId="7C5B33AC" w14:textId="77777777" w:rsidR="00FA65FC" w:rsidRDefault="00FA65FC" w:rsidP="00604BFB">
      <w:pPr>
        <w:jc w:val="both"/>
        <w:rPr>
          <w:sz w:val="16"/>
        </w:rPr>
      </w:pPr>
    </w:p>
    <w:p w14:paraId="06E1E77A" w14:textId="0C9CF477" w:rsidR="009D10E8" w:rsidRPr="00445CCD" w:rsidRDefault="00551A0C" w:rsidP="00604BFB">
      <w:pPr>
        <w:jc w:val="both"/>
        <w:rPr>
          <w:sz w:val="16"/>
          <w:szCs w:val="16"/>
        </w:rPr>
      </w:pPr>
      <w:r w:rsidRPr="00445CCD">
        <w:rPr>
          <w:sz w:val="16"/>
        </w:rPr>
        <w:t>Katrin Helmberger, Diretora de Sustentabilidade Corporativa da Fronius International GmbH.</w:t>
      </w:r>
    </w:p>
    <w:p w14:paraId="49D73A9D" w14:textId="12DE42A2" w:rsidR="00AA55B7" w:rsidRPr="00445CCD" w:rsidRDefault="00AA55B7" w:rsidP="00604BFB">
      <w:pPr>
        <w:jc w:val="both"/>
        <w:rPr>
          <w:sz w:val="18"/>
          <w:szCs w:val="18"/>
        </w:rPr>
      </w:pPr>
      <w:r w:rsidRPr="00445CCD"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0BF9E42C" wp14:editId="47AB6675">
            <wp:simplePos x="0" y="0"/>
            <wp:positionH relativeFrom="margin">
              <wp:align>left</wp:align>
            </wp:positionH>
            <wp:positionV relativeFrom="paragraph">
              <wp:posOffset>238760</wp:posOffset>
            </wp:positionV>
            <wp:extent cx="2207895" cy="1472565"/>
            <wp:effectExtent l="0" t="0" r="1905" b="0"/>
            <wp:wrapTight wrapText="bothSides">
              <wp:wrapPolygon edited="0">
                <wp:start x="0" y="0"/>
                <wp:lineTo x="0" y="21237"/>
                <wp:lineTo x="21432" y="21237"/>
                <wp:lineTo x="21432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7895" cy="1472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888671" w14:textId="2BDB3072" w:rsidR="001D371F" w:rsidRPr="00445CCD" w:rsidRDefault="001D371F" w:rsidP="00604BFB">
      <w:pPr>
        <w:jc w:val="both"/>
        <w:rPr>
          <w:sz w:val="18"/>
          <w:szCs w:val="18"/>
        </w:rPr>
      </w:pPr>
    </w:p>
    <w:p w14:paraId="3AB0106A" w14:textId="77777777" w:rsidR="001D371F" w:rsidRPr="00445CCD" w:rsidRDefault="001D371F" w:rsidP="00604BFB">
      <w:pPr>
        <w:jc w:val="both"/>
        <w:rPr>
          <w:sz w:val="18"/>
          <w:szCs w:val="18"/>
        </w:rPr>
      </w:pPr>
    </w:p>
    <w:p w14:paraId="36401DDF" w14:textId="77777777" w:rsidR="001D371F" w:rsidRPr="00445CCD" w:rsidRDefault="001D371F" w:rsidP="00604BFB">
      <w:pPr>
        <w:jc w:val="both"/>
        <w:rPr>
          <w:sz w:val="18"/>
          <w:szCs w:val="18"/>
        </w:rPr>
      </w:pPr>
    </w:p>
    <w:p w14:paraId="66CBD8C8" w14:textId="77777777" w:rsidR="001D371F" w:rsidRPr="00445CCD" w:rsidRDefault="001D371F" w:rsidP="00604BFB">
      <w:pPr>
        <w:jc w:val="both"/>
        <w:rPr>
          <w:sz w:val="18"/>
          <w:szCs w:val="18"/>
        </w:rPr>
      </w:pPr>
    </w:p>
    <w:p w14:paraId="3D0BBFE5" w14:textId="77777777" w:rsidR="00FA65FC" w:rsidRDefault="00FA65FC" w:rsidP="00604BFB">
      <w:pPr>
        <w:jc w:val="both"/>
        <w:rPr>
          <w:sz w:val="16"/>
        </w:rPr>
      </w:pPr>
    </w:p>
    <w:p w14:paraId="159548AD" w14:textId="77777777" w:rsidR="00FA65FC" w:rsidRDefault="00FA65FC" w:rsidP="00604BFB">
      <w:pPr>
        <w:jc w:val="both"/>
        <w:rPr>
          <w:sz w:val="16"/>
        </w:rPr>
      </w:pPr>
    </w:p>
    <w:p w14:paraId="3600DE0C" w14:textId="06CD85DE" w:rsidR="00604BFB" w:rsidRPr="00445CCD" w:rsidRDefault="00715E72" w:rsidP="00604BFB">
      <w:pPr>
        <w:jc w:val="both"/>
        <w:rPr>
          <w:sz w:val="16"/>
          <w:szCs w:val="16"/>
        </w:rPr>
      </w:pPr>
      <w:r w:rsidRPr="00445CCD">
        <w:rPr>
          <w:sz w:val="16"/>
        </w:rPr>
        <w:t>A nova versão de 30 amperes do Fronius Tauro é nossa solução para a proporção cada vez maior de módulos de alta corrente.</w:t>
      </w:r>
    </w:p>
    <w:p w14:paraId="79EA8C06" w14:textId="25A2D3BC" w:rsidR="009D10E8" w:rsidRPr="00445CCD" w:rsidRDefault="009D10E8" w:rsidP="00604BFB">
      <w:pPr>
        <w:jc w:val="both"/>
        <w:rPr>
          <w:sz w:val="16"/>
          <w:szCs w:val="16"/>
        </w:rPr>
      </w:pPr>
      <w:r w:rsidRPr="00445CCD">
        <w:rPr>
          <w:noProof/>
          <w:sz w:val="16"/>
        </w:rPr>
        <w:drawing>
          <wp:anchor distT="0" distB="0" distL="114300" distR="114300" simplePos="0" relativeHeight="251669504" behindDoc="1" locked="0" layoutInCell="1" allowOverlap="1" wp14:anchorId="5A2BFE7D" wp14:editId="72A19468">
            <wp:simplePos x="0" y="0"/>
            <wp:positionH relativeFrom="margin">
              <wp:align>left</wp:align>
            </wp:positionH>
            <wp:positionV relativeFrom="paragraph">
              <wp:posOffset>139616</wp:posOffset>
            </wp:positionV>
            <wp:extent cx="2130039" cy="1595886"/>
            <wp:effectExtent l="0" t="0" r="3810" b="4445"/>
            <wp:wrapTight wrapText="bothSides">
              <wp:wrapPolygon edited="0">
                <wp:start x="0" y="0"/>
                <wp:lineTo x="0" y="21402"/>
                <wp:lineTo x="21445" y="21402"/>
                <wp:lineTo x="21445" y="0"/>
                <wp:lineTo x="0" y="0"/>
              </wp:wrapPolygon>
            </wp:wrapTight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0039" cy="15958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61E26F" w14:textId="1B27392C" w:rsidR="009D10E8" w:rsidRPr="00445CCD" w:rsidRDefault="009D10E8" w:rsidP="009D10E8">
      <w:pPr>
        <w:jc w:val="both"/>
        <w:rPr>
          <w:sz w:val="16"/>
          <w:szCs w:val="16"/>
        </w:rPr>
      </w:pPr>
    </w:p>
    <w:p w14:paraId="1FF78832" w14:textId="77777777" w:rsidR="009D10E8" w:rsidRPr="00445CCD" w:rsidRDefault="009D10E8" w:rsidP="009D10E8">
      <w:pPr>
        <w:jc w:val="both"/>
        <w:rPr>
          <w:sz w:val="16"/>
          <w:szCs w:val="16"/>
        </w:rPr>
      </w:pPr>
    </w:p>
    <w:p w14:paraId="44E15374" w14:textId="319DDEE8" w:rsidR="009D10E8" w:rsidRPr="00445CCD" w:rsidRDefault="009D10E8" w:rsidP="009D10E8">
      <w:pPr>
        <w:jc w:val="both"/>
        <w:rPr>
          <w:sz w:val="16"/>
          <w:szCs w:val="16"/>
        </w:rPr>
      </w:pPr>
    </w:p>
    <w:p w14:paraId="4CC81860" w14:textId="179DE8DE" w:rsidR="009D10E8" w:rsidRPr="00445CCD" w:rsidRDefault="009D10E8" w:rsidP="009D10E8">
      <w:pPr>
        <w:jc w:val="both"/>
        <w:rPr>
          <w:sz w:val="16"/>
          <w:szCs w:val="16"/>
        </w:rPr>
      </w:pPr>
    </w:p>
    <w:p w14:paraId="7D1D1F68" w14:textId="77777777" w:rsidR="009D10E8" w:rsidRPr="00445CCD" w:rsidRDefault="009D10E8" w:rsidP="009D10E8">
      <w:pPr>
        <w:jc w:val="both"/>
        <w:rPr>
          <w:sz w:val="16"/>
          <w:szCs w:val="16"/>
        </w:rPr>
      </w:pPr>
    </w:p>
    <w:p w14:paraId="18411BA8" w14:textId="77777777" w:rsidR="00FA65FC" w:rsidRDefault="00FA65FC" w:rsidP="00604BFB">
      <w:pPr>
        <w:jc w:val="both"/>
        <w:rPr>
          <w:sz w:val="16"/>
        </w:rPr>
      </w:pPr>
    </w:p>
    <w:p w14:paraId="154D4997" w14:textId="14CEC803" w:rsidR="004D3344" w:rsidRDefault="004D3344" w:rsidP="00604BFB">
      <w:pPr>
        <w:jc w:val="both"/>
        <w:rPr>
          <w:sz w:val="16"/>
        </w:rPr>
      </w:pPr>
      <w:r w:rsidRPr="00445CCD">
        <w:rPr>
          <w:sz w:val="16"/>
        </w:rPr>
        <w:t>O tempo de retorno do CO</w:t>
      </w:r>
      <w:r w:rsidRPr="00445CCD">
        <w:rPr>
          <w:sz w:val="16"/>
          <w:vertAlign w:val="subscript"/>
        </w:rPr>
        <w:t>2e</w:t>
      </w:r>
      <w:r w:rsidRPr="00445CCD">
        <w:rPr>
          <w:sz w:val="16"/>
        </w:rPr>
        <w:t xml:space="preserve"> foi reduzido de 1,2 para 5,5 anos para 0,7 para 3,3 anos.</w:t>
      </w:r>
    </w:p>
    <w:p w14:paraId="5BDBD59C" w14:textId="77777777" w:rsidR="00FA65FC" w:rsidRPr="00445CCD" w:rsidRDefault="00FA65FC" w:rsidP="00604BFB">
      <w:pPr>
        <w:jc w:val="both"/>
        <w:rPr>
          <w:sz w:val="16"/>
          <w:szCs w:val="16"/>
        </w:rPr>
      </w:pPr>
    </w:p>
    <w:p w14:paraId="678B5CFF" w14:textId="25003DBD" w:rsidR="00B8257D" w:rsidRPr="00445CCD" w:rsidRDefault="00B25C3B" w:rsidP="00604BFB">
      <w:pPr>
        <w:jc w:val="both"/>
        <w:rPr>
          <w:i/>
          <w:iCs/>
          <w:sz w:val="18"/>
          <w:szCs w:val="18"/>
        </w:rPr>
      </w:pPr>
      <w:r w:rsidRPr="00445CCD">
        <w:rPr>
          <w:i/>
          <w:sz w:val="18"/>
        </w:rPr>
        <w:t>Direitos de imagem: Fronius International GmbH, impressão gratuita</w:t>
      </w:r>
    </w:p>
    <w:p w14:paraId="0C1181E0" w14:textId="76F37896" w:rsidR="008C5190" w:rsidRDefault="008C5190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7565FC37" w14:textId="6489AF35" w:rsidR="00ED71F8" w:rsidRDefault="00ED71F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11136D62" w14:textId="3157F602" w:rsidR="00ED71F8" w:rsidRDefault="00ED71F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1685876A" w14:textId="1BA8BB70" w:rsidR="00ED71F8" w:rsidRDefault="00ED71F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332B6791" w14:textId="23310224" w:rsidR="00ED71F8" w:rsidRDefault="00ED71F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2A2BD81A" w14:textId="6F0E19AF" w:rsidR="00ED71F8" w:rsidRDefault="00ED71F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0AFC5047" w14:textId="0CA07775" w:rsidR="00ED71F8" w:rsidRDefault="00ED71F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031377CF" w14:textId="1CE7EB6F" w:rsidR="00ED71F8" w:rsidRDefault="00ED71F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083FD3C0" w14:textId="13AB2FBD" w:rsidR="00ED71F8" w:rsidRDefault="00ED71F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295327F9" w14:textId="76314BC7" w:rsidR="00ED71F8" w:rsidRDefault="00ED71F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5C3506B4" w14:textId="794F1981" w:rsidR="00ED71F8" w:rsidRDefault="00ED71F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6A925C34" w14:textId="0BE817ED" w:rsidR="00ED71F8" w:rsidRDefault="00ED71F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61EA9B30" w14:textId="00507435" w:rsidR="00ED71F8" w:rsidRDefault="00ED71F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2986BAB8" w14:textId="77777777" w:rsidR="00ED71F8" w:rsidRPr="00445CCD" w:rsidRDefault="00ED71F8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0165B398" w14:textId="77777777" w:rsidR="00FA65FC" w:rsidRPr="00542C15" w:rsidRDefault="00FA65FC" w:rsidP="00FA65FC">
      <w:pPr>
        <w:pStyle w:val="berschrift4"/>
        <w:jc w:val="both"/>
        <w:rPr>
          <w:sz w:val="20"/>
          <w:szCs w:val="20"/>
        </w:rPr>
      </w:pPr>
      <w:r w:rsidRPr="00542C15">
        <w:rPr>
          <w:sz w:val="20"/>
        </w:rPr>
        <w:lastRenderedPageBreak/>
        <w:t>Unidade de Negócios Solar Energy</w:t>
      </w:r>
    </w:p>
    <w:p w14:paraId="35A76EBD" w14:textId="77777777" w:rsidR="00FA65FC" w:rsidRPr="00542C15" w:rsidRDefault="00FA65FC" w:rsidP="00FA65FC">
      <w:pPr>
        <w:jc w:val="both"/>
        <w:rPr>
          <w:sz w:val="20"/>
          <w:szCs w:val="20"/>
        </w:rPr>
      </w:pPr>
      <w:r w:rsidRPr="00542C15">
        <w:rPr>
          <w:sz w:val="20"/>
        </w:rPr>
        <w:t>Fundada em 1992, a Unidade de Negócio Solar Energy da Fronius comemora neste ano seu 30º aniversário. Sob o lema „Energize your life.“ desenvolvemos soluções inovadoras que permitem que a energia solar seja gerada, armazenada, distribuída e consumida de forma rentável e inteligente. A Fronius Solar Energy possibilita o uso das 24 horas de sol por dia, abrindo caminho para um futuro que vale a pena viver, no qual as energias renováveis ​cobrem 100% das necessidades energéticas do mundo. Nossas soluções são desenvolvidas de modo sustentável e produzidas inteiramente na Europa, principalmente na Áustria. A Fronius Solar Energy possui 26 filiais em todo o mundo e pode contar com uma produção total de mais de 25 gigawatts de inversores instalados até o momento. As vendas são realizadas por uma rede de competência global de distribuidores de instalação, serviços e vendas.</w:t>
      </w:r>
    </w:p>
    <w:p w14:paraId="7350278D" w14:textId="77777777" w:rsidR="00FA65FC" w:rsidRPr="00542C15" w:rsidRDefault="00FA65FC" w:rsidP="00FA65FC">
      <w:pPr>
        <w:spacing w:after="0" w:line="240" w:lineRule="auto"/>
        <w:jc w:val="both"/>
        <w:rPr>
          <w:b/>
          <w:bCs/>
          <w:sz w:val="20"/>
          <w:szCs w:val="20"/>
        </w:rPr>
      </w:pPr>
      <w:bookmarkStart w:id="2" w:name="_Hlk107480427"/>
      <w:r w:rsidRPr="00542C15">
        <w:rPr>
          <w:b/>
          <w:sz w:val="20"/>
        </w:rPr>
        <w:t>Somos a Fronius.</w:t>
      </w:r>
    </w:p>
    <w:bookmarkEnd w:id="2"/>
    <w:p w14:paraId="650A4A7A" w14:textId="77777777" w:rsidR="00FA65FC" w:rsidRPr="00542C15" w:rsidRDefault="00FA65FC" w:rsidP="00FA65FC">
      <w:pPr>
        <w:spacing w:after="0" w:line="240" w:lineRule="auto"/>
        <w:jc w:val="both"/>
        <w:rPr>
          <w:sz w:val="20"/>
          <w:szCs w:val="20"/>
        </w:rPr>
      </w:pPr>
      <w:r w:rsidRPr="00542C15">
        <w:rPr>
          <w:sz w:val="20"/>
        </w:rPr>
        <w:t>Mais de 6.100 funcionários em todo o mundo, uma participação atual de exportação de 89% e 1.366 patentes ativas: este somos nós, a Fronius. Fundada em 1945 como uma operação regional de um homem só, agora somos um dos players globais, como demonstrado de modo impressionante por nossas 37 subsidiárias internacionais e nossa rede de distribuidores em mais de 60 países. No entanto, em nosso núcleo, ainda somos uma empresa familiar da Áustria, ativa em tecnologia fotovoltaica, soldagem e carregamento de baterias. Sempre desenvolvemos produtos e soluções para um futuro habitável, oferecendo a nossos clientes um pacote completo: desde o planejamento preliminar e consultoria até o monitoramento contínuo e um serviço de reparo sob medida para suas necessidades. Somos inovadores. Somos curiosos. Somos a Fronius.</w:t>
      </w:r>
    </w:p>
    <w:p w14:paraId="56D806B5" w14:textId="77777777" w:rsidR="00FA65FC" w:rsidRPr="00542C15" w:rsidRDefault="00FA65FC" w:rsidP="00FA65FC">
      <w:pPr>
        <w:jc w:val="both"/>
        <w:rPr>
          <w:sz w:val="20"/>
          <w:szCs w:val="20"/>
        </w:rPr>
      </w:pPr>
    </w:p>
    <w:p w14:paraId="3886262C" w14:textId="77777777" w:rsidR="00FA65FC" w:rsidRPr="002F207D" w:rsidRDefault="00FA65FC" w:rsidP="00FA65FC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Informação de contacto</w:t>
      </w:r>
    </w:p>
    <w:p w14:paraId="0D73265A" w14:textId="77777777" w:rsidR="00FA65FC" w:rsidRDefault="00FA65FC" w:rsidP="00FA65FC">
      <w:pPr>
        <w:rPr>
          <w:sz w:val="20"/>
        </w:rPr>
      </w:pPr>
      <w:r>
        <w:rPr>
          <w:sz w:val="20"/>
        </w:rPr>
        <w:t>Fronius International GmbH, Mag. Andrea SCHARTNER,</w:t>
      </w:r>
      <w:r>
        <w:rPr>
          <w:sz w:val="20"/>
        </w:rPr>
        <w:br/>
        <w:t xml:space="preserve">+43 664 88536765, </w:t>
      </w:r>
      <w:hyperlink r:id="rId11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 1, 4600 Wels, Áustria</w:t>
      </w:r>
    </w:p>
    <w:p w14:paraId="1592FF4C" w14:textId="77777777" w:rsidR="00FA65FC" w:rsidRPr="00707AA6" w:rsidRDefault="00FA65FC" w:rsidP="00FA65FC">
      <w:pPr>
        <w:rPr>
          <w:sz w:val="20"/>
        </w:rPr>
      </w:pPr>
      <w:r w:rsidRPr="00707AA6">
        <w:rPr>
          <w:sz w:val="20"/>
        </w:rPr>
        <w:t xml:space="preserve">Laura GONZALEZ, +34 91 649 60 40, </w:t>
      </w:r>
      <w:hyperlink r:id="rId12" w:history="1">
        <w:r w:rsidRPr="00707AA6">
          <w:rPr>
            <w:rStyle w:val="Hyperlink"/>
            <w:sz w:val="20"/>
            <w:szCs w:val="18"/>
          </w:rPr>
          <w:t>gonzalez.laura@fronius.com</w:t>
        </w:r>
      </w:hyperlink>
      <w:r w:rsidRPr="00707AA6">
        <w:rPr>
          <w:rStyle w:val="Hyperlink"/>
          <w:sz w:val="20"/>
          <w:szCs w:val="18"/>
        </w:rPr>
        <w:t>,</w:t>
      </w:r>
      <w:r w:rsidRPr="00707AA6">
        <w:rPr>
          <w:sz w:val="20"/>
        </w:rPr>
        <w:t xml:space="preserve"> Calle Arroyo del Soto n° 17, 28914 – Leganés, Espanha.</w:t>
      </w:r>
    </w:p>
    <w:p w14:paraId="4358CDB7" w14:textId="77777777" w:rsidR="00FA65FC" w:rsidRDefault="00FA65FC" w:rsidP="00FA65FC">
      <w:pPr>
        <w:rPr>
          <w:sz w:val="20"/>
        </w:rPr>
      </w:pPr>
      <w:r w:rsidRPr="00707AA6">
        <w:rPr>
          <w:sz w:val="20"/>
        </w:rPr>
        <w:t xml:space="preserve">Thais BITENCOURT, +55 11 3563-3803, </w:t>
      </w:r>
      <w:hyperlink r:id="rId13" w:history="1">
        <w:r w:rsidRPr="00707AA6">
          <w:rPr>
            <w:rStyle w:val="Hyperlink"/>
            <w:sz w:val="20"/>
            <w:szCs w:val="20"/>
          </w:rPr>
          <w:t>bitencourt.thais@fronius.com</w:t>
        </w:r>
      </w:hyperlink>
      <w:r w:rsidRPr="00707AA6">
        <w:rPr>
          <w:sz w:val="20"/>
        </w:rPr>
        <w:t>, R. José Martins Fernandes, 601 Batistini,  CEP: 09840-260, São Bernardo do Campo – SP, Brasil</w:t>
      </w:r>
    </w:p>
    <w:p w14:paraId="40D8CDC8" w14:textId="77777777" w:rsidR="00FA65FC" w:rsidRPr="00707AA6" w:rsidRDefault="00FA65FC" w:rsidP="00FA65FC">
      <w:pPr>
        <w:rPr>
          <w:sz w:val="20"/>
        </w:rPr>
      </w:pPr>
    </w:p>
    <w:p w14:paraId="585B4580" w14:textId="77777777" w:rsidR="00FA65FC" w:rsidRDefault="00FA65FC" w:rsidP="00FA65FC">
      <w:pPr>
        <w:spacing w:before="40" w:after="40" w:line="240" w:lineRule="auto"/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t>Exemplar de amostra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4" w:history="1">
        <w:r>
          <w:rPr>
            <w:rStyle w:val="Hyperlink"/>
            <w:sz w:val="20"/>
          </w:rPr>
          <w:t>rke@a1kommunikation.de</w:t>
        </w:r>
      </w:hyperlink>
    </w:p>
    <w:p w14:paraId="40862328" w14:textId="77777777" w:rsidR="00FA65FC" w:rsidRPr="00C52F19" w:rsidRDefault="00FA65FC" w:rsidP="00FA65FC">
      <w:pPr>
        <w:spacing w:before="40" w:after="40" w:line="240" w:lineRule="auto"/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t>Oberdorfstraße 31A, 70794 Filderstadt, Alemanha</w:t>
      </w:r>
    </w:p>
    <w:p w14:paraId="74FF7F55" w14:textId="77777777" w:rsidR="00FA65FC" w:rsidRDefault="00FA65FC" w:rsidP="00FA65FC">
      <w:pPr>
        <w:jc w:val="both"/>
        <w:rPr>
          <w:sz w:val="16"/>
          <w:szCs w:val="16"/>
        </w:rPr>
      </w:pPr>
    </w:p>
    <w:p w14:paraId="08C4DCDD" w14:textId="77777777" w:rsidR="00FA65FC" w:rsidRPr="00604BFB" w:rsidRDefault="00FA65FC" w:rsidP="00FA65FC">
      <w:pPr>
        <w:jc w:val="both"/>
        <w:rPr>
          <w:sz w:val="16"/>
          <w:szCs w:val="16"/>
        </w:rPr>
      </w:pPr>
      <w:r>
        <w:rPr>
          <w:sz w:val="16"/>
        </w:rPr>
        <w:t xml:space="preserve">Se já não deseja receber comunicados de imprensa da Fronius International (Business Unit Solar Energy), responda com UNSUBSCRIBE para o endereço de correio eletrónico </w:t>
      </w:r>
      <w:hyperlink r:id="rId15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>.</w:t>
      </w:r>
    </w:p>
    <w:p w14:paraId="0359BCDE" w14:textId="77777777" w:rsidR="00FA65FC" w:rsidRPr="00542C15" w:rsidRDefault="00FA65FC" w:rsidP="00FA65FC">
      <w:pPr>
        <w:pStyle w:val="berschrift4"/>
        <w:jc w:val="both"/>
        <w:rPr>
          <w:sz w:val="16"/>
          <w:szCs w:val="16"/>
        </w:rPr>
      </w:pPr>
    </w:p>
    <w:p w14:paraId="24AF3511" w14:textId="77777777" w:rsidR="00FA65FC" w:rsidRPr="00604BFB" w:rsidRDefault="00FA65FC" w:rsidP="00FA65FC">
      <w:pPr>
        <w:pStyle w:val="berschrift4"/>
        <w:jc w:val="both"/>
        <w:rPr>
          <w:sz w:val="16"/>
          <w:szCs w:val="16"/>
        </w:rPr>
      </w:pPr>
    </w:p>
    <w:p w14:paraId="790215F6" w14:textId="012B9E54" w:rsidR="00670F02" w:rsidRPr="00445CCD" w:rsidRDefault="00670F02" w:rsidP="00FA65FC">
      <w:pPr>
        <w:pStyle w:val="berschrift4"/>
        <w:jc w:val="both"/>
        <w:rPr>
          <w:sz w:val="16"/>
          <w:szCs w:val="16"/>
          <w:lang w:val="de-AT"/>
        </w:rPr>
      </w:pPr>
    </w:p>
    <w:sectPr w:rsidR="00670F02" w:rsidRPr="00445CCD">
      <w:headerReference w:type="default" r:id="rId16"/>
      <w:footerReference w:type="default" r:id="rId1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DF2ACD" w14:textId="77777777" w:rsidR="00FA7693" w:rsidRDefault="00FA7693" w:rsidP="00B54547">
      <w:pPr>
        <w:spacing w:after="0" w:line="240" w:lineRule="auto"/>
      </w:pPr>
      <w:r>
        <w:separator/>
      </w:r>
    </w:p>
  </w:endnote>
  <w:endnote w:type="continuationSeparator" w:id="0">
    <w:p w14:paraId="7AB66B0B" w14:textId="77777777" w:rsidR="00FA7693" w:rsidRDefault="00FA7693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Classificação de Informação: Pública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sz w:val="12"/>
                        <w:szCs w:val="12"/>
                        <w:rFonts w:cs="Noto Sans"/>
                      </w:rPr>
                    </w:pPr>
                    <w:r>
                      <w:rPr>
                        <w:sz w:val="12"/>
                      </w:rPr>
                      <w:t xml:space="preserve">Classificação de Informação: Pública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04D600" w14:textId="77777777" w:rsidR="00FA7693" w:rsidRDefault="00FA7693" w:rsidP="00B54547">
      <w:pPr>
        <w:spacing w:after="0" w:line="240" w:lineRule="auto"/>
      </w:pPr>
      <w:r>
        <w:separator/>
      </w:r>
    </w:p>
  </w:footnote>
  <w:footnote w:type="continuationSeparator" w:id="0">
    <w:p w14:paraId="45D7E4C7" w14:textId="77777777" w:rsidR="00FA7693" w:rsidRDefault="00FA7693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81C38"/>
    <w:multiLevelType w:val="hybridMultilevel"/>
    <w:tmpl w:val="80D4ED9E"/>
    <w:lvl w:ilvl="0" w:tplc="75CEDE8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954EDA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2CEFB6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A01536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96451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3ECC9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E56BC6A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DAEFF2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FA6B39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6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7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8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467D88"/>
    <w:multiLevelType w:val="hybridMultilevel"/>
    <w:tmpl w:val="09788638"/>
    <w:lvl w:ilvl="0" w:tplc="11D8132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986809">
    <w:abstractNumId w:val="8"/>
  </w:num>
  <w:num w:numId="2" w16cid:durableId="20741609">
    <w:abstractNumId w:val="0"/>
  </w:num>
  <w:num w:numId="3" w16cid:durableId="1189872239">
    <w:abstractNumId w:val="5"/>
  </w:num>
  <w:num w:numId="4" w16cid:durableId="1547373761">
    <w:abstractNumId w:val="7"/>
  </w:num>
  <w:num w:numId="5" w16cid:durableId="2110468141">
    <w:abstractNumId w:val="6"/>
  </w:num>
  <w:num w:numId="6" w16cid:durableId="1034384457">
    <w:abstractNumId w:val="1"/>
  </w:num>
  <w:num w:numId="7" w16cid:durableId="191187278">
    <w:abstractNumId w:val="4"/>
  </w:num>
  <w:num w:numId="8" w16cid:durableId="986014788">
    <w:abstractNumId w:val="3"/>
  </w:num>
  <w:num w:numId="9" w16cid:durableId="1446076719">
    <w:abstractNumId w:val="9"/>
  </w:num>
  <w:num w:numId="10" w16cid:durableId="7493044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1297E"/>
    <w:rsid w:val="00030C3B"/>
    <w:rsid w:val="0004753E"/>
    <w:rsid w:val="00052309"/>
    <w:rsid w:val="00097CDA"/>
    <w:rsid w:val="000C153C"/>
    <w:rsid w:val="000C4025"/>
    <w:rsid w:val="00102F0B"/>
    <w:rsid w:val="00105654"/>
    <w:rsid w:val="00141482"/>
    <w:rsid w:val="001426C7"/>
    <w:rsid w:val="0015484D"/>
    <w:rsid w:val="001668E3"/>
    <w:rsid w:val="00196F99"/>
    <w:rsid w:val="001A34C4"/>
    <w:rsid w:val="001B4713"/>
    <w:rsid w:val="001C35F0"/>
    <w:rsid w:val="001D371F"/>
    <w:rsid w:val="00202BA1"/>
    <w:rsid w:val="00215DF9"/>
    <w:rsid w:val="0024308B"/>
    <w:rsid w:val="00243F1D"/>
    <w:rsid w:val="0026515D"/>
    <w:rsid w:val="00271D71"/>
    <w:rsid w:val="00282219"/>
    <w:rsid w:val="002A045C"/>
    <w:rsid w:val="002B1BB2"/>
    <w:rsid w:val="002C13C3"/>
    <w:rsid w:val="002C6795"/>
    <w:rsid w:val="002D7A44"/>
    <w:rsid w:val="002E4785"/>
    <w:rsid w:val="002F207D"/>
    <w:rsid w:val="00333E1E"/>
    <w:rsid w:val="003405C8"/>
    <w:rsid w:val="0036590E"/>
    <w:rsid w:val="00387130"/>
    <w:rsid w:val="00393D8C"/>
    <w:rsid w:val="003A323F"/>
    <w:rsid w:val="003B30C9"/>
    <w:rsid w:val="003E6855"/>
    <w:rsid w:val="00402AA3"/>
    <w:rsid w:val="00403C78"/>
    <w:rsid w:val="00424297"/>
    <w:rsid w:val="0044171E"/>
    <w:rsid w:val="004420B7"/>
    <w:rsid w:val="00445CCD"/>
    <w:rsid w:val="00446048"/>
    <w:rsid w:val="00451F65"/>
    <w:rsid w:val="00455012"/>
    <w:rsid w:val="00470A9D"/>
    <w:rsid w:val="004A1FC4"/>
    <w:rsid w:val="004B317B"/>
    <w:rsid w:val="004D3344"/>
    <w:rsid w:val="0051114E"/>
    <w:rsid w:val="00512C4C"/>
    <w:rsid w:val="005351C3"/>
    <w:rsid w:val="00551A0C"/>
    <w:rsid w:val="00554093"/>
    <w:rsid w:val="00582BF5"/>
    <w:rsid w:val="005923B9"/>
    <w:rsid w:val="005A26BF"/>
    <w:rsid w:val="005B6909"/>
    <w:rsid w:val="005C7E03"/>
    <w:rsid w:val="005D13F0"/>
    <w:rsid w:val="005E36D5"/>
    <w:rsid w:val="00604BFB"/>
    <w:rsid w:val="00650CE5"/>
    <w:rsid w:val="00651247"/>
    <w:rsid w:val="00670F02"/>
    <w:rsid w:val="0068572B"/>
    <w:rsid w:val="006B7BDF"/>
    <w:rsid w:val="006D2AEF"/>
    <w:rsid w:val="006D6430"/>
    <w:rsid w:val="00703F47"/>
    <w:rsid w:val="00711B3F"/>
    <w:rsid w:val="00715E72"/>
    <w:rsid w:val="00723F58"/>
    <w:rsid w:val="00730C60"/>
    <w:rsid w:val="0074545E"/>
    <w:rsid w:val="00774D77"/>
    <w:rsid w:val="007A57E3"/>
    <w:rsid w:val="007C0A19"/>
    <w:rsid w:val="007C61B7"/>
    <w:rsid w:val="00816914"/>
    <w:rsid w:val="00831633"/>
    <w:rsid w:val="008404EE"/>
    <w:rsid w:val="008936B2"/>
    <w:rsid w:val="00897AA5"/>
    <w:rsid w:val="008B53CF"/>
    <w:rsid w:val="008C5190"/>
    <w:rsid w:val="008D7983"/>
    <w:rsid w:val="008E1774"/>
    <w:rsid w:val="008F4ED5"/>
    <w:rsid w:val="00906679"/>
    <w:rsid w:val="00962B6D"/>
    <w:rsid w:val="00963BB4"/>
    <w:rsid w:val="00971EAE"/>
    <w:rsid w:val="009753A9"/>
    <w:rsid w:val="009A3D25"/>
    <w:rsid w:val="009C1A10"/>
    <w:rsid w:val="009D10E8"/>
    <w:rsid w:val="009D1B67"/>
    <w:rsid w:val="009D35E0"/>
    <w:rsid w:val="009D65BD"/>
    <w:rsid w:val="009F6929"/>
    <w:rsid w:val="009F7BDF"/>
    <w:rsid w:val="00A43962"/>
    <w:rsid w:val="00A52F69"/>
    <w:rsid w:val="00A66F74"/>
    <w:rsid w:val="00A94F59"/>
    <w:rsid w:val="00AA55B7"/>
    <w:rsid w:val="00AE7975"/>
    <w:rsid w:val="00B15E79"/>
    <w:rsid w:val="00B25C3B"/>
    <w:rsid w:val="00B27A62"/>
    <w:rsid w:val="00B30440"/>
    <w:rsid w:val="00B309A8"/>
    <w:rsid w:val="00B46B7B"/>
    <w:rsid w:val="00B52F2E"/>
    <w:rsid w:val="00B54547"/>
    <w:rsid w:val="00B66863"/>
    <w:rsid w:val="00B8257D"/>
    <w:rsid w:val="00B844EA"/>
    <w:rsid w:val="00BA207D"/>
    <w:rsid w:val="00BB44BD"/>
    <w:rsid w:val="00BB6194"/>
    <w:rsid w:val="00C17BEE"/>
    <w:rsid w:val="00C34C3C"/>
    <w:rsid w:val="00C44B9C"/>
    <w:rsid w:val="00C85609"/>
    <w:rsid w:val="00C921A2"/>
    <w:rsid w:val="00CA56AD"/>
    <w:rsid w:val="00CB1448"/>
    <w:rsid w:val="00CC0612"/>
    <w:rsid w:val="00CF63C4"/>
    <w:rsid w:val="00D018C9"/>
    <w:rsid w:val="00D0522E"/>
    <w:rsid w:val="00D236D5"/>
    <w:rsid w:val="00D3698E"/>
    <w:rsid w:val="00D61309"/>
    <w:rsid w:val="00D7549F"/>
    <w:rsid w:val="00D77E57"/>
    <w:rsid w:val="00D81F9F"/>
    <w:rsid w:val="00DA2ED8"/>
    <w:rsid w:val="00DA790D"/>
    <w:rsid w:val="00DB4CF3"/>
    <w:rsid w:val="00DE201A"/>
    <w:rsid w:val="00DF5290"/>
    <w:rsid w:val="00E83DD7"/>
    <w:rsid w:val="00E9591C"/>
    <w:rsid w:val="00EA26EC"/>
    <w:rsid w:val="00EB1D30"/>
    <w:rsid w:val="00EC5B3C"/>
    <w:rsid w:val="00EC6E68"/>
    <w:rsid w:val="00ED1A55"/>
    <w:rsid w:val="00ED5549"/>
    <w:rsid w:val="00ED71F8"/>
    <w:rsid w:val="00EE35FD"/>
    <w:rsid w:val="00EF6255"/>
    <w:rsid w:val="00F213F0"/>
    <w:rsid w:val="00F4277F"/>
    <w:rsid w:val="00F46CE2"/>
    <w:rsid w:val="00FA65FC"/>
    <w:rsid w:val="00FA7693"/>
    <w:rsid w:val="00FD0EE7"/>
    <w:rsid w:val="00FD50E0"/>
    <w:rsid w:val="00FE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pt-BR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pt-BR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C402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C402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C4025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C402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C4025"/>
    <w:rPr>
      <w:rFonts w:ascii="Noto Sans" w:hAnsi="Noto Sans"/>
      <w:b/>
      <w:bCs/>
      <w:sz w:val="20"/>
      <w:szCs w:val="20"/>
    </w:rPr>
  </w:style>
  <w:style w:type="character" w:customStyle="1" w:styleId="cf01">
    <w:name w:val="cf01"/>
    <w:basedOn w:val="Absatz-Standardschriftart"/>
    <w:rsid w:val="009A3D25"/>
    <w:rPr>
      <w:rFonts w:ascii="Segoe UI" w:hAnsi="Segoe UI" w:cs="Segoe UI" w:hint="default"/>
      <w:sz w:val="18"/>
      <w:szCs w:val="18"/>
    </w:rPr>
  </w:style>
  <w:style w:type="paragraph" w:styleId="berarbeitung">
    <w:name w:val="Revision"/>
    <w:hidden/>
    <w:uiPriority w:val="99"/>
    <w:semiHidden/>
    <w:rsid w:val="009D1B67"/>
    <w:pPr>
      <w:spacing w:after="0" w:line="240" w:lineRule="auto"/>
    </w:pPr>
    <w:rPr>
      <w:rFonts w:ascii="Noto Sans" w:hAnsi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1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9056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79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76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81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5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73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bitencourt.thais@fronius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customXml" Target="../customXml/item2.xml"/><Relationship Id="rId7" Type="http://schemas.openxmlformats.org/officeDocument/2006/relationships/image" Target="media/image1.jpeg"/><Relationship Id="rId12" Type="http://schemas.openxmlformats.org/officeDocument/2006/relationships/hyperlink" Target="mailto:gonzalez.laura@fronius.com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chartner.andrea@fronius.com" TargetMode="External"/><Relationship Id="rId24" Type="http://schemas.openxmlformats.org/officeDocument/2006/relationships/customXml" Target="../customXml/item5.xml"/><Relationship Id="rId5" Type="http://schemas.openxmlformats.org/officeDocument/2006/relationships/footnotes" Target="footnotes.xml"/><Relationship Id="rId15" Type="http://schemas.openxmlformats.org/officeDocument/2006/relationships/hyperlink" Target="mailto:cancellation@fronius.com" TargetMode="External"/><Relationship Id="rId23" Type="http://schemas.openxmlformats.org/officeDocument/2006/relationships/customXml" Target="../customXml/item4.xml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mailto:rke@a1kommunikation.de" TargetMode="External"/><Relationship Id="rId22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Hohe Ziele und nachhaltiges Wachstum 2023/02</title_TI_DE>
    <title_TI_NO xmlns="dc0c2c3d-e9fc-4a0d-820b-87ab82e65f20">High targets and sustainable growth 2023/02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High targets and sustainable growth 2023/02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High targets and sustainable growth 2023/02</title_TI_TH>
    <Licence_x0020_information xmlns="dc0c2c3d-e9fc-4a0d-820b-87ab82e65f20">(c) Fronius International</Licence_x0020_information>
    <title_TI_EA xmlns="dc0c2c3d-e9fc-4a0d-820b-87ab82e65f20">High targets and sustainable growth 2023/02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#PT</TermName>
          <TermId xmlns="http://schemas.microsoft.com/office/infopath/2007/PartnerControls">09001fa6-1193-42f9-b106-6c6015fe3ec4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High targets and sustainable growth 2023/02</title_TI_DA>
    <Documenttype_TR xmlns="dc0c2c3d-e9fc-4a0d-820b-87ab82e65f20">Basın bülteni</Documenttype_TR>
    <title_TI_PL xmlns="dc0c2c3d-e9fc-4a0d-820b-87ab82e65f20">High targets and sustainable growth 2023/02</title_TI_PL>
    <Documenttype_TH xmlns="dc0c2c3d-e9fc-4a0d-820b-87ab82e65f20">ข่าวประชาสัมพันธ์</Documenttype_TH>
    <title_TI_EL xmlns="dc0c2c3d-e9fc-4a0d-820b-87ab82e65f20">High targets and sustainable growth 2023/02</title_TI_EL>
    <Documenttype_EA xmlns="dc0c2c3d-e9fc-4a0d-820b-87ab82e65f20">Press Release</Documenttype_EA>
    <Web_x0020_Display_x0020_Title_x0020_ET xmlns="dc0c2c3d-e9fc-4a0d-820b-87ab82e65f20">High targets and sustainable growth 2023/02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High targets and sustainable growth 2023/02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High targets and sustainable growth 2023/02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C-138981</FileMaster>
    <title_TI_NL xmlns="dc0c2c3d-e9fc-4a0d-820b-87ab82e65f20">High targets and sustainable growth 2023/02</title_TI_NL>
    <contentservId xmlns="c4543867-fb67-4424-a255-4d54d75e50e3">C-138988</contentservId>
    <title_TI_IT xmlns="dc0c2c3d-e9fc-4a0d-820b-87ab82e65f20">High targets and sustainable growth 2023/02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High targets and sustainable growth 2023/02</title_TI_UA>
    <title_TI_JP xmlns="dc0c2c3d-e9fc-4a0d-820b-87ab82e65f20">High targets and sustainable growth 2023/02</title_TI_JP>
    <Documenttype_NL xmlns="dc0c2c3d-e9fc-4a0d-820b-87ab82e65f20">Persbericht</Documenttype_NL>
    <title_TI_RO xmlns="dc0c2c3d-e9fc-4a0d-820b-87ab82e65f20">High targets and sustainable growth 2023/02</title_TI_RO>
    <Documenttype_NB xmlns="c4543867-fb67-4424-a255-4d54d75e50e3">Presseinformasjon</Documenttype_NB>
    <title_ti_nb xmlns="dc0c2c3d-e9fc-4a0d-820b-87ab82e65f20" xsi:nil="true"/>
    <title_TI_ES xmlns="dc0c2c3d-e9fc-4a0d-820b-87ab82e65f20">High targets and sustainable growth 2023/02</title_TI_ES>
    <title_TI_JA xmlns="dc0c2c3d-e9fc-4a0d-820b-87ab82e65f20">High targets and sustainable growth 2023/02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264</Value>
    </TaxCatchAll>
    <AGB xmlns="dc0c2c3d-e9fc-4a0d-820b-87ab82e65f20">false</AGB>
    <title_TI_EN xmlns="dc0c2c3d-e9fc-4a0d-820b-87ab82e65f20">High targets and sustainable growth 2023/02</title_TI_EN>
    <MRMKeyWords xmlns="dc0c2c3d-e9fc-4a0d-820b-87ab82e65f20">#Presse#Sattledt#Solar Energy#Presseaussendung#Fronius#Unternehmen#GEN24#Tauro#Corporate#press#press release#Company#Taurus#presse#sattledt#solarenergy#presseaussendung#pressrelease#fronius#unternehmen#company#gen24#tauro#corporate#</MRMKeyWords>
    <title_ti_zh xmlns="dc0c2c3d-e9fc-4a0d-820b-87ab82e65f20">High targets and sustainable growth 2023/02</title_ti_zh>
    <MRMID xmlns="dc0c2c3d-e9fc-4a0d-820b-87ab82e65f20">M-199211</MRMID>
    <Documenttype_UK xmlns="c4543867-fb67-4424-a255-4d54d75e50e3">Прес-релізи</Documenttype_UK>
    <title_TI_SK xmlns="dc0c2c3d-e9fc-4a0d-820b-87ab82e65f20">High targets and sustainable growth 2023/02</title_TI_SK>
    <Documenttype_UA xmlns="dc0c2c3d-e9fc-4a0d-820b-87ab82e65f20">Прес-релізи</Documenttype_UA>
    <title_TI_HU xmlns="dc0c2c3d-e9fc-4a0d-820b-87ab82e65f20">High targets and sustainable growth 2023/02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High targets and sustainable growth 2023/02</title_TI_PT>
    <title_ti_fi xmlns="dc0c2c3d-e9fc-4a0d-820b-87ab82e65f20">High targets and sustainable growth 2023/02</title_ti_fi>
    <Country xmlns="dc0c2c3d-e9fc-4a0d-820b-87ab82e65f20">
      <Value>8</Value>
    </Country>
    <fro_spid xmlns="dc0c2c3d-e9fc-4a0d-820b-87ab82e65f20">9192;SE</fro_spid>
    <title_TI_RU xmlns="dc0c2c3d-e9fc-4a0d-820b-87ab82e65f20">High targets and sustainable growth 2023/02</title_TI_RU>
    <Documenttype_JA xmlns="dc0c2c3d-e9fc-4a0d-820b-87ab82e65f20">ニュースリリース</Documenttype_JA>
    <Colour_x0020_space xmlns="dc0c2c3d-e9fc-4a0d-820b-87ab82e65f20" xsi:nil="true"/>
    <title_TI_CS xmlns="dc0c2c3d-e9fc-4a0d-820b-87ab82e65f20">High targets and sustainable growth 2023/02</title_TI_CS>
    <title_TI_AR xmlns="dc0c2c3d-e9fc-4a0d-820b-87ab82e65f20">High targets and sustainable growth 2023/02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7A7B8499-41C4-45AD-BC77-B3271FE7282C}"/>
</file>

<file path=customXml/itemProps2.xml><?xml version="1.0" encoding="utf-8"?>
<ds:datastoreItem xmlns:ds="http://schemas.openxmlformats.org/officeDocument/2006/customXml" ds:itemID="{AF659260-9175-44BC-8F71-CBC65914A18D}"/>
</file>

<file path=customXml/itemProps3.xml><?xml version="1.0" encoding="utf-8"?>
<ds:datastoreItem xmlns:ds="http://schemas.openxmlformats.org/officeDocument/2006/customXml" ds:itemID="{4DDD5B68-E958-41AB-8963-94A2D50BD2EB}"/>
</file>

<file path=customXml/itemProps4.xml><?xml version="1.0" encoding="utf-8"?>
<ds:datastoreItem xmlns:ds="http://schemas.openxmlformats.org/officeDocument/2006/customXml" ds:itemID="{E3F44210-C265-41B8-BDF0-0EA1B68E314C}"/>
</file>

<file path=customXml/itemProps5.xml><?xml version="1.0" encoding="utf-8"?>
<ds:datastoreItem xmlns:ds="http://schemas.openxmlformats.org/officeDocument/2006/customXml" ds:itemID="{17757F7B-28BD-4884-8348-BA8351E8662D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961</Words>
  <Characters>6059</Characters>
  <Application>Microsoft Office Word</Application>
  <DocSecurity>0</DocSecurity>
  <Lines>50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SE_PR_High_targets_and_sustainable_growth_PB</dc:title>
  <dc:subject/>
  <dc:creator>Kneringer Daniel</dc:creator>
  <cp:keywords/>
  <dc:description/>
  <cp:lastModifiedBy>Majetic Kristina</cp:lastModifiedBy>
  <cp:revision>12</cp:revision>
  <cp:lastPrinted>2023-01-17T12:28:00Z</cp:lastPrinted>
  <dcterms:created xsi:type="dcterms:W3CDTF">2023-01-23T08:19:00Z</dcterms:created>
  <dcterms:modified xsi:type="dcterms:W3CDTF">2023-02-08T10:18:00Z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Market Segmentation">
    <vt:lpwstr/>
  </property>
  <property fmtid="{D5CDD505-2E9C-101B-9397-08002B2CF9AE}" pid="6" name="Service Levels TIM-RS">
    <vt:lpwstr/>
  </property>
  <property fmtid="{D5CDD505-2E9C-101B-9397-08002B2CF9AE}" pid="7" name="Products">
    <vt:lpwstr/>
  </property>
  <property fmtid="{D5CDD505-2E9C-101B-9397-08002B2CF9AE}" pid="8" name="fro_PartnerRoles">
    <vt:lpwstr/>
  </property>
  <property fmtid="{D5CDD505-2E9C-101B-9397-08002B2CF9AE}" pid="9" name="db07a75696b94569b570813d345bcf82">
    <vt:lpwstr/>
  </property>
  <property fmtid="{D5CDD505-2E9C-101B-9397-08002B2CF9AE}" pid="10" name="Language">
    <vt:lpwstr>264;##PT|09001fa6-1193-42f9-b106-6c6015fe3ec4</vt:lpwstr>
  </property>
  <property fmtid="{D5CDD505-2E9C-101B-9397-08002B2CF9AE}" pid="11" name="FroConDoc_language">
    <vt:lpwstr>1;#DE|676160ea-61f7-4cef-8b4c-1724dec2206e</vt:lpwstr>
  </property>
</Properties>
</file>