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363A22" w:rsidRDefault="00ED5549" w:rsidP="00604BFB">
      <w:pPr>
        <w:jc w:val="both"/>
        <w:rPr>
          <w:sz w:val="20"/>
          <w:szCs w:val="20"/>
          <w:lang w:val="en-US"/>
        </w:rPr>
      </w:pPr>
    </w:p>
    <w:p w14:paraId="687BC23B" w14:textId="77777777" w:rsidR="00ED5549" w:rsidRPr="00363A22" w:rsidRDefault="00ED5549" w:rsidP="00604BFB">
      <w:pPr>
        <w:jc w:val="both"/>
        <w:rPr>
          <w:sz w:val="20"/>
          <w:szCs w:val="20"/>
          <w:lang w:val="en-US"/>
        </w:rPr>
      </w:pPr>
    </w:p>
    <w:p w14:paraId="64EAFB9B" w14:textId="273A2B2D" w:rsidR="002D7A44" w:rsidRPr="00363A22" w:rsidRDefault="00ED5549" w:rsidP="00604BFB">
      <w:pPr>
        <w:pStyle w:val="berschrift1"/>
        <w:jc w:val="both"/>
      </w:pPr>
      <w:r w:rsidRPr="00363A22">
        <w:t>Nota de prensa</w:t>
      </w:r>
    </w:p>
    <w:p w14:paraId="07CB8F03" w14:textId="06F6FC04" w:rsidR="00ED5549" w:rsidRPr="00363A22" w:rsidRDefault="0051114E" w:rsidP="00604BFB">
      <w:pPr>
        <w:jc w:val="both"/>
      </w:pPr>
      <w:r w:rsidRPr="00363A22">
        <w:rPr>
          <w:sz w:val="20"/>
        </w:rPr>
        <w:t>Solar Energy</w:t>
      </w:r>
    </w:p>
    <w:p w14:paraId="3EF5C6DD" w14:textId="6608F6CF" w:rsidR="00ED5549" w:rsidRPr="00363A22" w:rsidRDefault="00ED5549" w:rsidP="00604BFB">
      <w:pPr>
        <w:jc w:val="both"/>
        <w:rPr>
          <w:sz w:val="20"/>
          <w:szCs w:val="20"/>
        </w:rPr>
      </w:pPr>
    </w:p>
    <w:p w14:paraId="00F13E77" w14:textId="77777777" w:rsidR="00E83DD7" w:rsidRPr="00363A22" w:rsidRDefault="00E83DD7" w:rsidP="00604BFB">
      <w:pPr>
        <w:jc w:val="both"/>
        <w:rPr>
          <w:sz w:val="20"/>
          <w:szCs w:val="20"/>
        </w:rPr>
      </w:pPr>
    </w:p>
    <w:p w14:paraId="4F8F137E" w14:textId="0EEE1F1D" w:rsidR="006D6430" w:rsidRPr="00363A22" w:rsidRDefault="00A52F69" w:rsidP="00604BFB">
      <w:pPr>
        <w:pStyle w:val="HeadlineGreen"/>
        <w:jc w:val="both"/>
        <w:rPr>
          <w:color w:val="auto"/>
          <w:sz w:val="22"/>
          <w:szCs w:val="20"/>
        </w:rPr>
      </w:pPr>
      <w:r w:rsidRPr="00363A22">
        <w:rPr>
          <w:color w:val="auto"/>
          <w:sz w:val="22"/>
        </w:rPr>
        <w:t>30 Aniversario de Fronius Solar Energy</w:t>
      </w:r>
    </w:p>
    <w:p w14:paraId="726FD8A5" w14:textId="185CA760" w:rsidR="002D7A44" w:rsidRPr="00363A22" w:rsidRDefault="00B66863" w:rsidP="00604BFB">
      <w:pPr>
        <w:pStyle w:val="berschrift2"/>
        <w:jc w:val="both"/>
        <w:rPr>
          <w:color w:val="auto"/>
          <w:sz w:val="32"/>
          <w:szCs w:val="28"/>
        </w:rPr>
      </w:pPr>
      <w:r w:rsidRPr="00363A22">
        <w:rPr>
          <w:color w:val="auto"/>
          <w:sz w:val="32"/>
        </w:rPr>
        <w:t>Grandes objetivos y crecimiento sostenible</w:t>
      </w:r>
    </w:p>
    <w:p w14:paraId="2CC4F935" w14:textId="77777777" w:rsidR="00ED5549" w:rsidRPr="00363A22" w:rsidRDefault="00ED5549" w:rsidP="00604BFB">
      <w:pPr>
        <w:jc w:val="both"/>
        <w:rPr>
          <w:sz w:val="20"/>
          <w:szCs w:val="20"/>
        </w:rPr>
      </w:pPr>
    </w:p>
    <w:p w14:paraId="47D72435" w14:textId="111BDF3A" w:rsidR="001668E3" w:rsidRPr="00363A22" w:rsidRDefault="00ED5549" w:rsidP="00DB4CF3">
      <w:pPr>
        <w:jc w:val="both"/>
        <w:rPr>
          <w:sz w:val="24"/>
          <w:szCs w:val="24"/>
        </w:rPr>
      </w:pPr>
      <w:r w:rsidRPr="00363A22">
        <w:rPr>
          <w:sz w:val="24"/>
        </w:rPr>
        <w:t>(Wels, 09/02/2023) Desde 1992, Fronius Solar Energy desarrolla productos y soluciones innovadoras para generar, almacenar, distribuir y consumir energía solar de forma rentable e inteligente. Para los próximos años nos hemos propuesto grandes objetivos, entre los que destacan: crecer de manera sostenible, crear valor en Europa y continuar mejorando nuestros productos.</w:t>
      </w:r>
    </w:p>
    <w:p w14:paraId="2394DF3F" w14:textId="77777777" w:rsidR="003E6855" w:rsidRPr="00363A22" w:rsidRDefault="003E6855" w:rsidP="00604BFB">
      <w:pPr>
        <w:jc w:val="both"/>
        <w:rPr>
          <w:sz w:val="20"/>
          <w:szCs w:val="20"/>
        </w:rPr>
      </w:pPr>
    </w:p>
    <w:p w14:paraId="582041D6" w14:textId="44048003" w:rsidR="00402AA3" w:rsidRPr="00363A22" w:rsidRDefault="00243F1D" w:rsidP="00604BFB">
      <w:pPr>
        <w:jc w:val="both"/>
        <w:rPr>
          <w:sz w:val="20"/>
          <w:szCs w:val="20"/>
        </w:rPr>
      </w:pPr>
      <w:r w:rsidRPr="00363A22">
        <w:rPr>
          <w:sz w:val="20"/>
        </w:rPr>
        <w:t xml:space="preserve">Nuestros objetivos para 2023 son claros: antes de que acabe el año se instalarán 3000 inversores de Fronius al día. </w:t>
      </w:r>
      <w:bookmarkStart w:id="0" w:name="_Hlk124854438"/>
      <w:r w:rsidRPr="00363A22">
        <w:rPr>
          <w:sz w:val="20"/>
        </w:rPr>
        <w:t>Esto significa que Fronius Solar Energy habrá instalado 35 GW de potencia desde que se vendió el primer Fronius Sunrise</w:t>
      </w:r>
      <w:r w:rsidRPr="00363A22">
        <w:rPr>
          <w:sz w:val="20"/>
          <w:vertAlign w:val="superscript"/>
        </w:rPr>
        <w:t>1</w:t>
      </w:r>
      <w:r w:rsidRPr="00363A22">
        <w:rPr>
          <w:sz w:val="20"/>
        </w:rPr>
        <w:t xml:space="preserve">. En total, habrá 3,9 millones de inversores que generarán 46,8 TWh de energía verde al año, lo que equivale a 44 centrales hidroeléctricas². </w:t>
      </w:r>
      <w:bookmarkEnd w:id="0"/>
    </w:p>
    <w:p w14:paraId="4A0AE168" w14:textId="7BAFCA27" w:rsidR="00243F1D" w:rsidRPr="00363A22" w:rsidRDefault="00243F1D" w:rsidP="00604BFB">
      <w:pPr>
        <w:jc w:val="both"/>
        <w:rPr>
          <w:sz w:val="20"/>
          <w:szCs w:val="20"/>
        </w:rPr>
      </w:pPr>
      <w:r w:rsidRPr="00363A22">
        <w:rPr>
          <w:sz w:val="20"/>
        </w:rPr>
        <w:t xml:space="preserve"> </w:t>
      </w:r>
      <w:bookmarkStart w:id="1" w:name="_Hlk124325165"/>
      <w:r w:rsidRPr="00363A22">
        <w:rPr>
          <w:sz w:val="20"/>
        </w:rPr>
        <w:t xml:space="preserve">Martin Hackl, Director Global de Marketing y Ventas de la Unidad de negocio Solar Energy de Fronius International GmbH, </w:t>
      </w:r>
      <w:bookmarkEnd w:id="1"/>
      <w:r w:rsidRPr="00363A22">
        <w:rPr>
          <w:sz w:val="20"/>
        </w:rPr>
        <w:t xml:space="preserve">ya tiene una visión clara de los planes para los próximos años: </w:t>
      </w:r>
      <w:r w:rsidRPr="00363A22">
        <w:rPr>
          <w:i/>
          <w:sz w:val="20"/>
        </w:rPr>
        <w:t xml:space="preserve">"Nuestro objetivo es lograr una profunda interconexión digital y funcional de los sistemas Fronius con productos que permitan conectar diferentes sectores y llevar así más energía solar al sector de la calefacción, la refrigeración y la movilidad. Esto garantiza el camino hacia las 24 horas de sol". </w:t>
      </w:r>
      <w:r w:rsidRPr="00363A22">
        <w:rPr>
          <w:sz w:val="20"/>
        </w:rPr>
        <w:t>Desde el principio, el lema de esta empresa familiar austriaca ha sido encontrar soluciones pioneras para los retos técnicos.</w:t>
      </w:r>
    </w:p>
    <w:p w14:paraId="735FC345" w14:textId="12E8FFBE" w:rsidR="00EF6255" w:rsidRPr="00363A22" w:rsidRDefault="00B15E79" w:rsidP="00604BFB">
      <w:pPr>
        <w:jc w:val="both"/>
        <w:rPr>
          <w:sz w:val="20"/>
          <w:szCs w:val="20"/>
        </w:rPr>
      </w:pPr>
      <w:r w:rsidRPr="00363A22">
        <w:rPr>
          <w:sz w:val="20"/>
        </w:rPr>
        <w:t>Entre nuestros objetivos para este año destacan la mejora continua de los productos y soluciones, la creación de valor en Europa y la sostenibilidad. Así lo demuestran las últimas novedades:</w:t>
      </w:r>
    </w:p>
    <w:p w14:paraId="286ED61B" w14:textId="6E3420D8" w:rsidR="00D81F9F" w:rsidRPr="00363A22" w:rsidRDefault="00EC5B3C" w:rsidP="00D81F9F">
      <w:pPr>
        <w:jc w:val="both"/>
        <w:rPr>
          <w:sz w:val="20"/>
          <w:szCs w:val="20"/>
          <w:u w:val="single"/>
        </w:rPr>
      </w:pPr>
      <w:r w:rsidRPr="00363A22">
        <w:rPr>
          <w:sz w:val="20"/>
          <w:u w:val="single"/>
        </w:rPr>
        <w:t xml:space="preserve">Nueva versión del </w:t>
      </w:r>
      <w:r w:rsidR="000040DE">
        <w:rPr>
          <w:sz w:val="20"/>
          <w:u w:val="single"/>
        </w:rPr>
        <w:t xml:space="preserve">Fronius </w:t>
      </w:r>
      <w:r w:rsidRPr="00363A22">
        <w:rPr>
          <w:sz w:val="20"/>
          <w:u w:val="single"/>
        </w:rPr>
        <w:t>Tauro</w:t>
      </w:r>
    </w:p>
    <w:p w14:paraId="0B342BA5" w14:textId="160D8F86" w:rsidR="00DA2ED8" w:rsidRPr="00363A22" w:rsidRDefault="005E36D5" w:rsidP="00D81F9F">
      <w:pPr>
        <w:jc w:val="both"/>
        <w:rPr>
          <w:sz w:val="20"/>
          <w:szCs w:val="20"/>
        </w:rPr>
      </w:pPr>
      <w:r w:rsidRPr="00363A22">
        <w:rPr>
          <w:sz w:val="20"/>
        </w:rPr>
        <w:t>En febrero de 2023 lanzaremos una nueva versión de 30 amperios del Fronius Tauro³, la cual se ha diseñado como respuesta al creciente número de módulos de alta corriente. Estos módulos cuentan con obleas solares mejoradas que permiten transportar más energía y reducir los costes de la instalación. Además, la nueva versión del Tauro asegura una máxima flexibilidad en el diseño de la instalación con costes de operación mínimos.</w:t>
      </w:r>
    </w:p>
    <w:p w14:paraId="53280E4D" w14:textId="77777777" w:rsidR="00A94F59" w:rsidRPr="00363A22" w:rsidRDefault="00A94F59" w:rsidP="00D81F9F">
      <w:pPr>
        <w:jc w:val="both"/>
        <w:rPr>
          <w:sz w:val="20"/>
          <w:szCs w:val="20"/>
        </w:rPr>
      </w:pPr>
    </w:p>
    <w:p w14:paraId="3E954B53" w14:textId="2D032E97" w:rsidR="00EC5B3C" w:rsidRPr="00363A22" w:rsidRDefault="00097CDA" w:rsidP="00D81F9F">
      <w:pPr>
        <w:jc w:val="both"/>
        <w:rPr>
          <w:sz w:val="20"/>
          <w:szCs w:val="20"/>
          <w:u w:val="single"/>
        </w:rPr>
      </w:pPr>
      <w:r w:rsidRPr="00363A22">
        <w:rPr>
          <w:sz w:val="20"/>
          <w:u w:val="single"/>
        </w:rPr>
        <w:t>Fronius GEN24 Plus ofrece ahora aún más beneficios para el medio ambiente</w:t>
      </w:r>
    </w:p>
    <w:p w14:paraId="743C2950" w14:textId="37FDDD8F" w:rsidR="00D81F9F" w:rsidRPr="00363A22" w:rsidRDefault="00971EAE" w:rsidP="00D81F9F">
      <w:pPr>
        <w:jc w:val="both"/>
        <w:rPr>
          <w:sz w:val="20"/>
          <w:szCs w:val="20"/>
        </w:rPr>
      </w:pPr>
      <w:r w:rsidRPr="00363A22">
        <w:rPr>
          <w:sz w:val="20"/>
        </w:rPr>
        <w:lastRenderedPageBreak/>
        <w:t>Un aspecto destacado del trabajo de Fronius en materia de sostenibilidad es el análisis del ciclo de vida del Fronius GEN24 Plus y el Fronius Tauro. "</w:t>
      </w:r>
      <w:r w:rsidRPr="00363A22">
        <w:rPr>
          <w:i/>
          <w:sz w:val="20"/>
        </w:rPr>
        <w:t>La sostenibilidad basada en pruebas es tan importante para nosotros como la integración de los resultados en el desarrollo de productos para mejorar continuamente nuestro rendimiento en materia de sostenibilidad"</w:t>
      </w:r>
      <w:r w:rsidRPr="00363A22">
        <w:rPr>
          <w:sz w:val="20"/>
        </w:rPr>
        <w:t>, afirma Katrin Helmberger, Directora de Sostenibilidad Corporativa de Fronius International GmbH. En este sentido, es de vital importancia que los datos estén actualizados, por lo que los análisis del ciclo de vida se actualizan siempre que sea necesario.</w:t>
      </w:r>
    </w:p>
    <w:p w14:paraId="0BC3BF17" w14:textId="2132150A" w:rsidR="00B46B7B" w:rsidRPr="00363A22" w:rsidRDefault="00971EAE" w:rsidP="00B46B7B">
      <w:pPr>
        <w:jc w:val="both"/>
        <w:rPr>
          <w:rFonts w:cs="Noto Sans"/>
          <w:i/>
          <w:iCs/>
          <w:sz w:val="20"/>
          <w:szCs w:val="20"/>
        </w:rPr>
      </w:pPr>
      <w:r w:rsidRPr="00363A22">
        <w:rPr>
          <w:sz w:val="20"/>
        </w:rPr>
        <w:t>Los últimos datos obtenidos en el análisis del ciclo de vida del Fronius GEN24 Plus muestran que los beneficios medioambientales del sistema han aumentado. El tiempo de amortización del CO</w:t>
      </w:r>
      <w:r w:rsidRPr="00363A22">
        <w:rPr>
          <w:sz w:val="20"/>
          <w:vertAlign w:val="subscript"/>
        </w:rPr>
        <w:t>2</w:t>
      </w:r>
      <w:r w:rsidRPr="00363A22">
        <w:rPr>
          <w:sz w:val="20"/>
        </w:rPr>
        <w:t>ha bajado de 1,2-5,5 años a 0,7-3,3 años</w:t>
      </w:r>
      <w:r w:rsidRPr="00363A22">
        <w:rPr>
          <w:sz w:val="20"/>
          <w:vertAlign w:val="superscript"/>
        </w:rPr>
        <w:t>4</w:t>
      </w:r>
      <w:r w:rsidRPr="00363A22">
        <w:rPr>
          <w:sz w:val="20"/>
        </w:rPr>
        <w:t>.</w:t>
      </w:r>
    </w:p>
    <w:p w14:paraId="0CCF2CDC" w14:textId="3092A1B4" w:rsidR="00971EAE" w:rsidRPr="00363A22" w:rsidRDefault="005923B9" w:rsidP="00D81F9F">
      <w:pPr>
        <w:jc w:val="both"/>
        <w:rPr>
          <w:sz w:val="20"/>
          <w:szCs w:val="20"/>
        </w:rPr>
      </w:pPr>
      <w:r w:rsidRPr="00363A22">
        <w:rPr>
          <w:sz w:val="20"/>
        </w:rPr>
        <w:t xml:space="preserve">Nuestro objetivo es la descarbonización completa de todas las instalaciones de Fronius para el año 2025. Además, en Fronius ya utilizamos energía verde al 100 % y hemos reducido a la mitad nuestras emisiones de gases de efecto invernadero en el periodo comprendido entre 2014 y 2021. </w:t>
      </w:r>
      <w:r w:rsidRPr="00363A22">
        <w:rPr>
          <w:i/>
          <w:sz w:val="20"/>
        </w:rPr>
        <w:t>"Los resultados están ahí y se pueden comprobar. Nos centramos en establecer y aplicar medidas técnicas y de organización en lugar de compensar las emisiones",</w:t>
      </w:r>
      <w:r w:rsidRPr="00363A22">
        <w:rPr>
          <w:sz w:val="20"/>
        </w:rPr>
        <w:t xml:space="preserve"> explica Helmberger.</w:t>
      </w:r>
    </w:p>
    <w:p w14:paraId="597DB150" w14:textId="77777777" w:rsidR="00EB1D30" w:rsidRPr="00363A22" w:rsidRDefault="00EB1D30" w:rsidP="00D81F9F">
      <w:pPr>
        <w:jc w:val="both"/>
        <w:rPr>
          <w:sz w:val="20"/>
          <w:szCs w:val="20"/>
        </w:rPr>
      </w:pPr>
    </w:p>
    <w:p w14:paraId="2A128D8A" w14:textId="7546F525" w:rsidR="00CF63C4" w:rsidRPr="00363A22" w:rsidRDefault="0026515D" w:rsidP="00CF63C4">
      <w:pPr>
        <w:autoSpaceDE w:val="0"/>
        <w:autoSpaceDN w:val="0"/>
        <w:adjustRightInd w:val="0"/>
        <w:spacing w:after="0" w:line="240" w:lineRule="auto"/>
        <w:rPr>
          <w:sz w:val="16"/>
          <w:szCs w:val="16"/>
        </w:rPr>
      </w:pPr>
      <w:r w:rsidRPr="00363A22">
        <w:rPr>
          <w:sz w:val="16"/>
          <w:vertAlign w:val="superscript"/>
        </w:rPr>
        <w:t xml:space="preserve">1 </w:t>
      </w:r>
      <w:r w:rsidRPr="00363A22">
        <w:rPr>
          <w:sz w:val="16"/>
        </w:rPr>
        <w:t>El Fronius Sunrise</w:t>
      </w:r>
      <w:r w:rsidRPr="00363A22">
        <w:rPr>
          <w:rFonts w:ascii="Arial" w:hAnsi="Arial"/>
          <w:sz w:val="18"/>
        </w:rPr>
        <w:t xml:space="preserve"> </w:t>
      </w:r>
      <w:r w:rsidRPr="00363A22">
        <w:rPr>
          <w:sz w:val="16"/>
        </w:rPr>
        <w:t>se ha usado para implementar pequeñas instalaciones fotovoltaicas de un tamaño entre 600 Wp y 1400 Wp.</w:t>
      </w:r>
    </w:p>
    <w:p w14:paraId="0F27EECA" w14:textId="47CDD9BF" w:rsidR="009A3D25" w:rsidRPr="00363A22" w:rsidRDefault="009A3D25" w:rsidP="00CF63C4">
      <w:pPr>
        <w:autoSpaceDE w:val="0"/>
        <w:autoSpaceDN w:val="0"/>
        <w:adjustRightInd w:val="0"/>
        <w:spacing w:after="0" w:line="240" w:lineRule="auto"/>
        <w:rPr>
          <w:sz w:val="16"/>
          <w:szCs w:val="16"/>
        </w:rPr>
      </w:pPr>
      <w:r w:rsidRPr="00363A22">
        <w:rPr>
          <w:sz w:val="16"/>
          <w:vertAlign w:val="superscript"/>
        </w:rPr>
        <w:t xml:space="preserve">2 </w:t>
      </w:r>
      <w:r w:rsidRPr="00363A22">
        <w:rPr>
          <w:sz w:val="16"/>
        </w:rPr>
        <w:t xml:space="preserve">Valor obtenido a partir de la central hidroeléctrica de Freudenau (Viena) </w:t>
      </w:r>
    </w:p>
    <w:p w14:paraId="55A96AB0" w14:textId="1E080863" w:rsidR="00393D8C" w:rsidRPr="00363A22" w:rsidRDefault="009A3D25" w:rsidP="00B46B7B">
      <w:pPr>
        <w:spacing w:after="0"/>
        <w:jc w:val="both"/>
        <w:rPr>
          <w:sz w:val="16"/>
          <w:szCs w:val="16"/>
        </w:rPr>
      </w:pPr>
      <w:r w:rsidRPr="00363A22">
        <w:rPr>
          <w:sz w:val="16"/>
          <w:vertAlign w:val="superscript"/>
        </w:rPr>
        <w:t xml:space="preserve">3 </w:t>
      </w:r>
      <w:r w:rsidRPr="00363A22">
        <w:rPr>
          <w:sz w:val="16"/>
        </w:rPr>
        <w:t>Fronius Tauro modelo Direct</w:t>
      </w:r>
    </w:p>
    <w:p w14:paraId="365171AC" w14:textId="04524658" w:rsidR="00B46B7B" w:rsidRPr="00363A22" w:rsidRDefault="00B46B7B" w:rsidP="00B46B7B">
      <w:pPr>
        <w:spacing w:after="0"/>
        <w:jc w:val="both"/>
        <w:rPr>
          <w:sz w:val="16"/>
          <w:szCs w:val="16"/>
        </w:rPr>
      </w:pPr>
      <w:r w:rsidRPr="00363A22">
        <w:rPr>
          <w:sz w:val="16"/>
          <w:vertAlign w:val="superscript"/>
        </w:rPr>
        <w:t xml:space="preserve">4 </w:t>
      </w:r>
      <w:r w:rsidRPr="00363A22">
        <w:rPr>
          <w:sz w:val="16"/>
        </w:rPr>
        <w:t>Rango: del mejor al peor de los casos</w:t>
      </w:r>
    </w:p>
    <w:p w14:paraId="27EFE6A5" w14:textId="63BAFC72" w:rsidR="0044171E" w:rsidRDefault="0044171E" w:rsidP="00604BFB">
      <w:pPr>
        <w:jc w:val="both"/>
        <w:rPr>
          <w:sz w:val="20"/>
          <w:szCs w:val="20"/>
          <w:lang w:val="de-AT"/>
        </w:rPr>
      </w:pPr>
    </w:p>
    <w:p w14:paraId="48E3E964" w14:textId="1967DB21" w:rsidR="00877FCE" w:rsidRPr="00E53199" w:rsidRDefault="00877FCE" w:rsidP="00877FCE">
      <w:pPr>
        <w:spacing w:before="40" w:after="40"/>
        <w:jc w:val="both"/>
        <w:rPr>
          <w:sz w:val="20"/>
          <w:szCs w:val="20"/>
        </w:rPr>
      </w:pPr>
      <w:r>
        <w:rPr>
          <w:sz w:val="20"/>
        </w:rPr>
        <w:t>Palabras: 57</w:t>
      </w:r>
      <w:r w:rsidR="000040DE">
        <w:rPr>
          <w:sz w:val="20"/>
        </w:rPr>
        <w:t>7</w:t>
      </w:r>
    </w:p>
    <w:p w14:paraId="6A7D7D30" w14:textId="16A683B8" w:rsidR="00877FCE" w:rsidRPr="00E53199" w:rsidRDefault="00877FCE" w:rsidP="00877FCE">
      <w:pPr>
        <w:spacing w:before="40" w:after="40"/>
        <w:jc w:val="both"/>
        <w:rPr>
          <w:sz w:val="20"/>
          <w:szCs w:val="20"/>
        </w:rPr>
      </w:pPr>
      <w:r>
        <w:rPr>
          <w:sz w:val="20"/>
        </w:rPr>
        <w:t>Caracteres (con espacios): 363</w:t>
      </w:r>
      <w:r w:rsidR="000040DE">
        <w:rPr>
          <w:sz w:val="20"/>
        </w:rPr>
        <w:t>5</w:t>
      </w:r>
    </w:p>
    <w:p w14:paraId="177399E7" w14:textId="77777777" w:rsidR="00877FCE" w:rsidRPr="00363A22" w:rsidRDefault="00877FCE" w:rsidP="00604BFB">
      <w:pPr>
        <w:jc w:val="both"/>
        <w:rPr>
          <w:sz w:val="20"/>
          <w:szCs w:val="20"/>
          <w:lang w:val="de-AT"/>
        </w:rPr>
      </w:pPr>
    </w:p>
    <w:p w14:paraId="7EC534EB" w14:textId="78A06791" w:rsidR="00B8257D" w:rsidRPr="00363A22" w:rsidRDefault="00B8257D" w:rsidP="00604BFB">
      <w:pPr>
        <w:pStyle w:val="berschrift4"/>
        <w:jc w:val="both"/>
        <w:rPr>
          <w:sz w:val="20"/>
          <w:szCs w:val="20"/>
          <w:lang w:val="de-AT"/>
        </w:rPr>
      </w:pPr>
      <w:r w:rsidRPr="00363A22">
        <w:rPr>
          <w:sz w:val="20"/>
          <w:lang w:val="de-AT"/>
        </w:rPr>
        <w:t>Sinopsis del material gráfico</w:t>
      </w:r>
    </w:p>
    <w:p w14:paraId="3DA4F784" w14:textId="77777777" w:rsidR="009F7BDF" w:rsidRPr="00363A22" w:rsidRDefault="009F7BDF" w:rsidP="00604BFB">
      <w:pPr>
        <w:jc w:val="both"/>
        <w:rPr>
          <w:sz w:val="16"/>
          <w:szCs w:val="16"/>
          <w:lang w:val="de-AT"/>
        </w:rPr>
      </w:pPr>
    </w:p>
    <w:p w14:paraId="48D23DA6" w14:textId="0C542C29" w:rsidR="009F7BDF" w:rsidRPr="00363A22" w:rsidRDefault="009F7BDF" w:rsidP="00604BFB">
      <w:pPr>
        <w:jc w:val="both"/>
        <w:rPr>
          <w:sz w:val="16"/>
          <w:szCs w:val="16"/>
          <w:lang w:val="de-AT"/>
        </w:rPr>
      </w:pPr>
      <w:r w:rsidRPr="00363A22">
        <w:rPr>
          <w:noProof/>
          <w:sz w:val="16"/>
        </w:rPr>
        <w:drawing>
          <wp:anchor distT="0" distB="0" distL="114300" distR="114300" simplePos="0" relativeHeight="251668480" behindDoc="1" locked="0" layoutInCell="1" allowOverlap="1" wp14:anchorId="006A1F29" wp14:editId="142EE0F6">
            <wp:simplePos x="0" y="0"/>
            <wp:positionH relativeFrom="margin">
              <wp:align>left</wp:align>
            </wp:positionH>
            <wp:positionV relativeFrom="paragraph">
              <wp:posOffset>7380</wp:posOffset>
            </wp:positionV>
            <wp:extent cx="2186796" cy="1457864"/>
            <wp:effectExtent l="0" t="0" r="4445" b="9525"/>
            <wp:wrapTight wrapText="bothSides">
              <wp:wrapPolygon edited="0">
                <wp:start x="0" y="0"/>
                <wp:lineTo x="0" y="21459"/>
                <wp:lineTo x="21456" y="21459"/>
                <wp:lineTo x="2145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6796" cy="1457864"/>
                    </a:xfrm>
                    <a:prstGeom prst="rect">
                      <a:avLst/>
                    </a:prstGeom>
                  </pic:spPr>
                </pic:pic>
              </a:graphicData>
            </a:graphic>
          </wp:anchor>
        </w:drawing>
      </w:r>
    </w:p>
    <w:p w14:paraId="6D79EC18" w14:textId="77777777" w:rsidR="009F7BDF" w:rsidRPr="00363A22" w:rsidRDefault="009F7BDF" w:rsidP="00604BFB">
      <w:pPr>
        <w:jc w:val="both"/>
        <w:rPr>
          <w:sz w:val="16"/>
          <w:szCs w:val="16"/>
          <w:lang w:val="de-AT"/>
        </w:rPr>
      </w:pPr>
    </w:p>
    <w:p w14:paraId="6EEF3F3F" w14:textId="77777777" w:rsidR="009F7BDF" w:rsidRPr="00363A22" w:rsidRDefault="009F7BDF" w:rsidP="00604BFB">
      <w:pPr>
        <w:jc w:val="both"/>
        <w:rPr>
          <w:sz w:val="16"/>
          <w:szCs w:val="16"/>
          <w:lang w:val="de-AT"/>
        </w:rPr>
      </w:pPr>
    </w:p>
    <w:p w14:paraId="7FEEEF6A" w14:textId="77777777" w:rsidR="009F7BDF" w:rsidRPr="00363A22" w:rsidRDefault="009F7BDF" w:rsidP="00604BFB">
      <w:pPr>
        <w:jc w:val="both"/>
        <w:rPr>
          <w:sz w:val="16"/>
          <w:szCs w:val="16"/>
          <w:lang w:val="de-AT"/>
        </w:rPr>
      </w:pPr>
    </w:p>
    <w:p w14:paraId="668AD1F6" w14:textId="77777777" w:rsidR="00877FCE" w:rsidRDefault="00877FCE" w:rsidP="00604BFB">
      <w:pPr>
        <w:jc w:val="both"/>
        <w:rPr>
          <w:sz w:val="16"/>
        </w:rPr>
      </w:pPr>
    </w:p>
    <w:p w14:paraId="4C8ACC10" w14:textId="77777777" w:rsidR="00877FCE" w:rsidRDefault="00877FCE" w:rsidP="00604BFB">
      <w:pPr>
        <w:jc w:val="both"/>
        <w:rPr>
          <w:sz w:val="16"/>
        </w:rPr>
      </w:pPr>
    </w:p>
    <w:p w14:paraId="754368C8" w14:textId="76A5AA7F" w:rsidR="00B8257D" w:rsidRPr="00363A22" w:rsidRDefault="009F7BDF" w:rsidP="00604BFB">
      <w:pPr>
        <w:jc w:val="both"/>
        <w:rPr>
          <w:sz w:val="20"/>
          <w:szCs w:val="20"/>
        </w:rPr>
      </w:pPr>
      <w:r w:rsidRPr="00363A22">
        <w:rPr>
          <w:sz w:val="16"/>
        </w:rPr>
        <w:t>Martin Hackl, Director Global de Marketing y Ventas de la Unidad de negocio Solar Energy de Fronius International GmbH</w:t>
      </w:r>
      <w:r w:rsidRPr="00363A22">
        <w:rPr>
          <w:sz w:val="20"/>
        </w:rPr>
        <w:t>.</w:t>
      </w:r>
    </w:p>
    <w:p w14:paraId="1322D035" w14:textId="77777777" w:rsidR="009F7BDF" w:rsidRPr="00363A22" w:rsidRDefault="009F7BDF" w:rsidP="00604BFB">
      <w:pPr>
        <w:jc w:val="both"/>
        <w:rPr>
          <w:sz w:val="20"/>
          <w:szCs w:val="20"/>
        </w:rPr>
      </w:pPr>
    </w:p>
    <w:p w14:paraId="70036FF3" w14:textId="77777777" w:rsidR="00715E72" w:rsidRPr="00363A22" w:rsidRDefault="00551A0C" w:rsidP="00604BFB">
      <w:pPr>
        <w:jc w:val="both"/>
        <w:rPr>
          <w:sz w:val="18"/>
          <w:szCs w:val="18"/>
        </w:rPr>
      </w:pPr>
      <w:r w:rsidRPr="00363A22">
        <w:rPr>
          <w:noProof/>
        </w:rPr>
        <w:lastRenderedPageBreak/>
        <w:drawing>
          <wp:anchor distT="0" distB="0" distL="114300" distR="114300" simplePos="0" relativeHeight="251667456" behindDoc="1" locked="0" layoutInCell="1" allowOverlap="1" wp14:anchorId="04BBF750" wp14:editId="61F3EDE1">
            <wp:simplePos x="0" y="0"/>
            <wp:positionH relativeFrom="column">
              <wp:posOffset>-2648</wp:posOffset>
            </wp:positionH>
            <wp:positionV relativeFrom="paragraph">
              <wp:posOffset>-3570</wp:posOffset>
            </wp:positionV>
            <wp:extent cx="2183243" cy="1449238"/>
            <wp:effectExtent l="0" t="0" r="7620" b="0"/>
            <wp:wrapTight wrapText="bothSides">
              <wp:wrapPolygon edited="0">
                <wp:start x="0" y="0"/>
                <wp:lineTo x="0" y="21297"/>
                <wp:lineTo x="21487" y="21297"/>
                <wp:lineTo x="2148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3243" cy="1449238"/>
                    </a:xfrm>
                    <a:prstGeom prst="rect">
                      <a:avLst/>
                    </a:prstGeom>
                  </pic:spPr>
                </pic:pic>
              </a:graphicData>
            </a:graphic>
          </wp:anchor>
        </w:drawing>
      </w:r>
    </w:p>
    <w:p w14:paraId="1C436294" w14:textId="77777777" w:rsidR="00715E72" w:rsidRPr="00363A22" w:rsidRDefault="00715E72" w:rsidP="00604BFB">
      <w:pPr>
        <w:jc w:val="both"/>
        <w:rPr>
          <w:sz w:val="18"/>
          <w:szCs w:val="18"/>
        </w:rPr>
      </w:pPr>
    </w:p>
    <w:p w14:paraId="320AEF77" w14:textId="77777777" w:rsidR="00715E72" w:rsidRPr="00363A22" w:rsidRDefault="00715E72" w:rsidP="00604BFB">
      <w:pPr>
        <w:jc w:val="both"/>
        <w:rPr>
          <w:sz w:val="18"/>
          <w:szCs w:val="18"/>
        </w:rPr>
      </w:pPr>
    </w:p>
    <w:p w14:paraId="2E88BD1F" w14:textId="77777777" w:rsidR="00715E72" w:rsidRPr="00363A22" w:rsidRDefault="00715E72" w:rsidP="00604BFB">
      <w:pPr>
        <w:jc w:val="both"/>
        <w:rPr>
          <w:sz w:val="18"/>
          <w:szCs w:val="18"/>
        </w:rPr>
      </w:pPr>
    </w:p>
    <w:p w14:paraId="7871E968" w14:textId="77777777" w:rsidR="00877FCE" w:rsidRDefault="00877FCE" w:rsidP="00604BFB">
      <w:pPr>
        <w:jc w:val="both"/>
        <w:rPr>
          <w:sz w:val="16"/>
        </w:rPr>
      </w:pPr>
    </w:p>
    <w:p w14:paraId="32787AB2" w14:textId="77777777" w:rsidR="00877FCE" w:rsidRDefault="00877FCE" w:rsidP="00604BFB">
      <w:pPr>
        <w:jc w:val="both"/>
        <w:rPr>
          <w:sz w:val="16"/>
        </w:rPr>
      </w:pPr>
    </w:p>
    <w:p w14:paraId="06E1E77A" w14:textId="45142FBF" w:rsidR="009D10E8" w:rsidRPr="00363A22" w:rsidRDefault="00551A0C" w:rsidP="00604BFB">
      <w:pPr>
        <w:jc w:val="both"/>
        <w:rPr>
          <w:sz w:val="16"/>
          <w:szCs w:val="16"/>
        </w:rPr>
      </w:pPr>
      <w:r w:rsidRPr="00363A22">
        <w:rPr>
          <w:sz w:val="16"/>
        </w:rPr>
        <w:t>Katrin Helmberger, Directora de Sostenibilidad Corporativa de Fronius International GmbH.</w:t>
      </w:r>
    </w:p>
    <w:p w14:paraId="49D73A9D" w14:textId="12DE42A2" w:rsidR="00AA55B7" w:rsidRPr="00363A22" w:rsidRDefault="00AA55B7" w:rsidP="00604BFB">
      <w:pPr>
        <w:jc w:val="both"/>
        <w:rPr>
          <w:sz w:val="18"/>
          <w:szCs w:val="18"/>
        </w:rPr>
      </w:pPr>
      <w:r w:rsidRPr="00363A22">
        <w:rPr>
          <w:noProof/>
        </w:rPr>
        <w:drawing>
          <wp:anchor distT="0" distB="0" distL="114300" distR="114300" simplePos="0" relativeHeight="251666432" behindDoc="1" locked="0" layoutInCell="1" allowOverlap="1" wp14:anchorId="0BF9E42C" wp14:editId="47AB6675">
            <wp:simplePos x="0" y="0"/>
            <wp:positionH relativeFrom="margin">
              <wp:align>left</wp:align>
            </wp:positionH>
            <wp:positionV relativeFrom="paragraph">
              <wp:posOffset>238760</wp:posOffset>
            </wp:positionV>
            <wp:extent cx="2207895" cy="1472565"/>
            <wp:effectExtent l="0" t="0" r="1905" b="0"/>
            <wp:wrapTight wrapText="bothSides">
              <wp:wrapPolygon edited="0">
                <wp:start x="0" y="0"/>
                <wp:lineTo x="0" y="21237"/>
                <wp:lineTo x="21432" y="21237"/>
                <wp:lineTo x="2143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7895" cy="1472565"/>
                    </a:xfrm>
                    <a:prstGeom prst="rect">
                      <a:avLst/>
                    </a:prstGeom>
                  </pic:spPr>
                </pic:pic>
              </a:graphicData>
            </a:graphic>
            <wp14:sizeRelH relativeFrom="margin">
              <wp14:pctWidth>0</wp14:pctWidth>
            </wp14:sizeRelH>
            <wp14:sizeRelV relativeFrom="margin">
              <wp14:pctHeight>0</wp14:pctHeight>
            </wp14:sizeRelV>
          </wp:anchor>
        </w:drawing>
      </w:r>
    </w:p>
    <w:p w14:paraId="61888671" w14:textId="2BDB3072" w:rsidR="001D371F" w:rsidRPr="00363A22" w:rsidRDefault="001D371F" w:rsidP="00604BFB">
      <w:pPr>
        <w:jc w:val="both"/>
        <w:rPr>
          <w:sz w:val="18"/>
          <w:szCs w:val="18"/>
        </w:rPr>
      </w:pPr>
    </w:p>
    <w:p w14:paraId="3AB0106A" w14:textId="77777777" w:rsidR="001D371F" w:rsidRPr="00363A22" w:rsidRDefault="001D371F" w:rsidP="00604BFB">
      <w:pPr>
        <w:jc w:val="both"/>
        <w:rPr>
          <w:sz w:val="18"/>
          <w:szCs w:val="18"/>
        </w:rPr>
      </w:pPr>
    </w:p>
    <w:p w14:paraId="36401DDF" w14:textId="77777777" w:rsidR="001D371F" w:rsidRPr="00363A22" w:rsidRDefault="001D371F" w:rsidP="00604BFB">
      <w:pPr>
        <w:jc w:val="both"/>
        <w:rPr>
          <w:sz w:val="18"/>
          <w:szCs w:val="18"/>
        </w:rPr>
      </w:pPr>
    </w:p>
    <w:p w14:paraId="66CBD8C8" w14:textId="77777777" w:rsidR="001D371F" w:rsidRPr="00363A22" w:rsidRDefault="001D371F" w:rsidP="00604BFB">
      <w:pPr>
        <w:jc w:val="both"/>
        <w:rPr>
          <w:sz w:val="18"/>
          <w:szCs w:val="18"/>
        </w:rPr>
      </w:pPr>
    </w:p>
    <w:p w14:paraId="6AEAADFF" w14:textId="77777777" w:rsidR="00877FCE" w:rsidRDefault="00877FCE" w:rsidP="00604BFB">
      <w:pPr>
        <w:jc w:val="both"/>
        <w:rPr>
          <w:sz w:val="16"/>
        </w:rPr>
      </w:pPr>
    </w:p>
    <w:p w14:paraId="5A6543DA" w14:textId="77777777" w:rsidR="00877FCE" w:rsidRDefault="00877FCE" w:rsidP="00604BFB">
      <w:pPr>
        <w:jc w:val="both"/>
        <w:rPr>
          <w:sz w:val="16"/>
        </w:rPr>
      </w:pPr>
    </w:p>
    <w:p w14:paraId="3600DE0C" w14:textId="3A682554" w:rsidR="00604BFB" w:rsidRDefault="00715E72" w:rsidP="00604BFB">
      <w:pPr>
        <w:jc w:val="both"/>
        <w:rPr>
          <w:sz w:val="16"/>
        </w:rPr>
      </w:pPr>
      <w:r w:rsidRPr="00363A22">
        <w:rPr>
          <w:sz w:val="16"/>
        </w:rPr>
        <w:t>La nueva versión de 30 amperios del Fronius Tauro es nuestra solución ante el número cada vez mayor de módulos de alta corriente.</w:t>
      </w:r>
    </w:p>
    <w:p w14:paraId="486CD2AB" w14:textId="77777777" w:rsidR="00877FCE" w:rsidRPr="00363A22" w:rsidRDefault="00877FCE" w:rsidP="00604BFB">
      <w:pPr>
        <w:jc w:val="both"/>
        <w:rPr>
          <w:sz w:val="16"/>
          <w:szCs w:val="16"/>
        </w:rPr>
      </w:pPr>
    </w:p>
    <w:p w14:paraId="79EA8C06" w14:textId="25A2D3BC" w:rsidR="009D10E8" w:rsidRPr="00363A22" w:rsidRDefault="009D10E8" w:rsidP="00604BFB">
      <w:pPr>
        <w:jc w:val="both"/>
        <w:rPr>
          <w:sz w:val="16"/>
          <w:szCs w:val="16"/>
        </w:rPr>
      </w:pPr>
      <w:r w:rsidRPr="00363A22">
        <w:rPr>
          <w:noProof/>
          <w:sz w:val="16"/>
        </w:rPr>
        <w:drawing>
          <wp:anchor distT="0" distB="0" distL="114300" distR="114300" simplePos="0" relativeHeight="251669504" behindDoc="1" locked="0" layoutInCell="1" allowOverlap="1" wp14:anchorId="5A2BFE7D" wp14:editId="72A19468">
            <wp:simplePos x="0" y="0"/>
            <wp:positionH relativeFrom="margin">
              <wp:align>left</wp:align>
            </wp:positionH>
            <wp:positionV relativeFrom="paragraph">
              <wp:posOffset>139616</wp:posOffset>
            </wp:positionV>
            <wp:extent cx="2130039" cy="1595886"/>
            <wp:effectExtent l="0" t="0" r="3810" b="4445"/>
            <wp:wrapTight wrapText="bothSides">
              <wp:wrapPolygon edited="0">
                <wp:start x="0" y="0"/>
                <wp:lineTo x="0" y="21402"/>
                <wp:lineTo x="21445" y="21402"/>
                <wp:lineTo x="2144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0039" cy="1595886"/>
                    </a:xfrm>
                    <a:prstGeom prst="rect">
                      <a:avLst/>
                    </a:prstGeom>
                  </pic:spPr>
                </pic:pic>
              </a:graphicData>
            </a:graphic>
          </wp:anchor>
        </w:drawing>
      </w:r>
    </w:p>
    <w:p w14:paraId="2061E26F" w14:textId="1B27392C" w:rsidR="009D10E8" w:rsidRPr="00363A22" w:rsidRDefault="009D10E8" w:rsidP="009D10E8">
      <w:pPr>
        <w:jc w:val="both"/>
        <w:rPr>
          <w:sz w:val="16"/>
          <w:szCs w:val="16"/>
        </w:rPr>
      </w:pPr>
    </w:p>
    <w:p w14:paraId="1FF78832" w14:textId="77777777" w:rsidR="009D10E8" w:rsidRPr="00363A22" w:rsidRDefault="009D10E8" w:rsidP="009D10E8">
      <w:pPr>
        <w:jc w:val="both"/>
        <w:rPr>
          <w:sz w:val="16"/>
          <w:szCs w:val="16"/>
        </w:rPr>
      </w:pPr>
    </w:p>
    <w:p w14:paraId="44E15374" w14:textId="319DDEE8" w:rsidR="009D10E8" w:rsidRPr="00363A22" w:rsidRDefault="009D10E8" w:rsidP="009D10E8">
      <w:pPr>
        <w:jc w:val="both"/>
        <w:rPr>
          <w:sz w:val="16"/>
          <w:szCs w:val="16"/>
        </w:rPr>
      </w:pPr>
    </w:p>
    <w:p w14:paraId="4CC81860" w14:textId="179DE8DE" w:rsidR="009D10E8" w:rsidRPr="00363A22" w:rsidRDefault="009D10E8" w:rsidP="009D10E8">
      <w:pPr>
        <w:jc w:val="both"/>
        <w:rPr>
          <w:sz w:val="16"/>
          <w:szCs w:val="16"/>
        </w:rPr>
      </w:pPr>
    </w:p>
    <w:p w14:paraId="7D1D1F68" w14:textId="77777777" w:rsidR="009D10E8" w:rsidRPr="00363A22" w:rsidRDefault="009D10E8" w:rsidP="009D10E8">
      <w:pPr>
        <w:jc w:val="both"/>
        <w:rPr>
          <w:sz w:val="16"/>
          <w:szCs w:val="16"/>
        </w:rPr>
      </w:pPr>
    </w:p>
    <w:p w14:paraId="793F098B" w14:textId="77777777" w:rsidR="00877FCE" w:rsidRDefault="00877FCE" w:rsidP="00604BFB">
      <w:pPr>
        <w:jc w:val="both"/>
        <w:rPr>
          <w:sz w:val="16"/>
        </w:rPr>
      </w:pPr>
    </w:p>
    <w:p w14:paraId="154D4997" w14:textId="025E24A4" w:rsidR="004D3344" w:rsidRDefault="004D3344" w:rsidP="00604BFB">
      <w:pPr>
        <w:jc w:val="both"/>
        <w:rPr>
          <w:sz w:val="16"/>
        </w:rPr>
      </w:pPr>
      <w:r w:rsidRPr="00363A22">
        <w:rPr>
          <w:sz w:val="16"/>
        </w:rPr>
        <w:t>El tiempo de amortización del CO</w:t>
      </w:r>
      <w:r w:rsidRPr="00363A22">
        <w:rPr>
          <w:sz w:val="16"/>
          <w:vertAlign w:val="subscript"/>
        </w:rPr>
        <w:t>2e</w:t>
      </w:r>
      <w:r w:rsidRPr="00363A22">
        <w:rPr>
          <w:sz w:val="16"/>
        </w:rPr>
        <w:t xml:space="preserve"> ha bajado de 1,2-5,5 años a 0,7-3,3 años.</w:t>
      </w:r>
    </w:p>
    <w:p w14:paraId="70B066E4" w14:textId="77777777" w:rsidR="00877FCE" w:rsidRPr="00363A22" w:rsidRDefault="00877FCE" w:rsidP="00604BFB">
      <w:pPr>
        <w:jc w:val="both"/>
        <w:rPr>
          <w:sz w:val="16"/>
          <w:szCs w:val="16"/>
        </w:rPr>
      </w:pPr>
    </w:p>
    <w:p w14:paraId="678B5CFF" w14:textId="25003DBD" w:rsidR="00B8257D" w:rsidRPr="00363A22" w:rsidRDefault="00B25C3B" w:rsidP="00604BFB">
      <w:pPr>
        <w:jc w:val="both"/>
        <w:rPr>
          <w:i/>
          <w:iCs/>
          <w:sz w:val="18"/>
          <w:szCs w:val="18"/>
        </w:rPr>
      </w:pPr>
      <w:r w:rsidRPr="00363A22">
        <w:rPr>
          <w:i/>
          <w:sz w:val="18"/>
        </w:rPr>
        <w:t>Derechos de imagen: Fronius International GmbH, reproducción sin coste alguno</w:t>
      </w:r>
    </w:p>
    <w:p w14:paraId="0C1181E0" w14:textId="3DD17C29" w:rsidR="008C5190" w:rsidRDefault="008C5190">
      <w:pPr>
        <w:rPr>
          <w:rFonts w:eastAsiaTheme="majorEastAsia" w:cstheme="majorBidi"/>
          <w:iCs/>
          <w:color w:val="000000" w:themeColor="text1"/>
          <w:sz w:val="20"/>
          <w:szCs w:val="20"/>
        </w:rPr>
      </w:pPr>
    </w:p>
    <w:p w14:paraId="2894FE13" w14:textId="76E3D5D2" w:rsidR="00877FCE" w:rsidRDefault="00877FCE">
      <w:pPr>
        <w:rPr>
          <w:rFonts w:eastAsiaTheme="majorEastAsia" w:cstheme="majorBidi"/>
          <w:iCs/>
          <w:color w:val="000000" w:themeColor="text1"/>
          <w:sz w:val="20"/>
          <w:szCs w:val="20"/>
        </w:rPr>
      </w:pPr>
    </w:p>
    <w:p w14:paraId="1D8EDEF7" w14:textId="0D0C5F02" w:rsidR="00877FCE" w:rsidRDefault="00877FCE">
      <w:pPr>
        <w:rPr>
          <w:rFonts w:eastAsiaTheme="majorEastAsia" w:cstheme="majorBidi"/>
          <w:iCs/>
          <w:color w:val="000000" w:themeColor="text1"/>
          <w:sz w:val="20"/>
          <w:szCs w:val="20"/>
        </w:rPr>
      </w:pPr>
    </w:p>
    <w:p w14:paraId="2EA588D3" w14:textId="1F7EC9DE" w:rsidR="00877FCE" w:rsidRDefault="00877FCE">
      <w:pPr>
        <w:rPr>
          <w:rFonts w:eastAsiaTheme="majorEastAsia" w:cstheme="majorBidi"/>
          <w:iCs/>
          <w:color w:val="000000" w:themeColor="text1"/>
          <w:sz w:val="20"/>
          <w:szCs w:val="20"/>
        </w:rPr>
      </w:pPr>
    </w:p>
    <w:p w14:paraId="5E12FA80" w14:textId="1920EAD3" w:rsidR="00877FCE" w:rsidRDefault="00877FCE">
      <w:pPr>
        <w:rPr>
          <w:rFonts w:eastAsiaTheme="majorEastAsia" w:cstheme="majorBidi"/>
          <w:iCs/>
          <w:color w:val="000000" w:themeColor="text1"/>
          <w:sz w:val="20"/>
          <w:szCs w:val="20"/>
        </w:rPr>
      </w:pPr>
    </w:p>
    <w:p w14:paraId="1EDD70D4" w14:textId="77777777" w:rsidR="00877FCE" w:rsidRPr="00363A22" w:rsidRDefault="00877FCE">
      <w:pPr>
        <w:rPr>
          <w:rFonts w:eastAsiaTheme="majorEastAsia" w:cstheme="majorBidi"/>
          <w:iCs/>
          <w:color w:val="000000" w:themeColor="text1"/>
          <w:sz w:val="20"/>
          <w:szCs w:val="20"/>
        </w:rPr>
      </w:pPr>
    </w:p>
    <w:p w14:paraId="52F1F6F5" w14:textId="77777777" w:rsidR="00877FCE" w:rsidRPr="009841A9" w:rsidRDefault="00877FCE" w:rsidP="00877FCE">
      <w:pPr>
        <w:pStyle w:val="berschrift4"/>
        <w:jc w:val="both"/>
        <w:rPr>
          <w:sz w:val="20"/>
          <w:szCs w:val="20"/>
        </w:rPr>
      </w:pPr>
      <w:r w:rsidRPr="009841A9">
        <w:rPr>
          <w:sz w:val="20"/>
        </w:rPr>
        <w:lastRenderedPageBreak/>
        <w:t>Unidad de negocio Solar Energy</w:t>
      </w:r>
    </w:p>
    <w:p w14:paraId="279BEEFF" w14:textId="77777777" w:rsidR="00877FCE" w:rsidRPr="009841A9" w:rsidRDefault="00877FCE" w:rsidP="00877FCE">
      <w:pPr>
        <w:jc w:val="both"/>
        <w:rPr>
          <w:sz w:val="20"/>
          <w:szCs w:val="20"/>
        </w:rPr>
      </w:pPr>
      <w:r w:rsidRPr="009841A9">
        <w:rPr>
          <w:sz w:val="20"/>
        </w:rPr>
        <w:t>La unidad de negocio (BU) Solar Energy de Fronius celebra este año su 30 aniversario. Bajo el lema "Energize your life" (Dale energía a tu vida), desarrollamos soluciones innovadoras con las que se puede generar, almacenar, distribuir y consumir energía solar de forma rentable e inteligente. Fronius Solar Energy hace posible aprovechar la energía del sol las 24 horas del día y construye así el camino hacia un futuro en el que las energías renovables cubrirán el 100 % de las necesidades energéticas de todo el planeta. Todas nuestras soluciones se desarrollan de forma sostenible y se producen exclusivamente en Europa, principalmente en Austria. Fronius Solar Energy tiene 26 delegaciones en todo el mundo, y, a día de hoy, puede presumir de una producción total de más de 25 gigavatios en los inversores instalados. La distribución se lleva a cabo a través de una red mundial de instaladores, servicio técnico y distribuidores.</w:t>
      </w:r>
    </w:p>
    <w:p w14:paraId="242C65E2" w14:textId="77777777" w:rsidR="00877FCE" w:rsidRPr="009841A9" w:rsidRDefault="00877FCE" w:rsidP="00877FCE">
      <w:pPr>
        <w:spacing w:after="0" w:line="240" w:lineRule="auto"/>
        <w:jc w:val="both"/>
        <w:rPr>
          <w:b/>
          <w:bCs/>
          <w:sz w:val="20"/>
          <w:szCs w:val="20"/>
        </w:rPr>
      </w:pPr>
      <w:bookmarkStart w:id="2" w:name="_Hlk107480427"/>
      <w:r w:rsidRPr="009841A9">
        <w:rPr>
          <w:b/>
          <w:sz w:val="20"/>
        </w:rPr>
        <w:t>Somos Fronius.</w:t>
      </w:r>
    </w:p>
    <w:bookmarkEnd w:id="2"/>
    <w:p w14:paraId="564D603F" w14:textId="77777777" w:rsidR="00877FCE" w:rsidRPr="009841A9" w:rsidRDefault="00877FCE" w:rsidP="00877FCE">
      <w:pPr>
        <w:spacing w:after="0" w:line="240" w:lineRule="auto"/>
        <w:jc w:val="both"/>
        <w:rPr>
          <w:sz w:val="20"/>
          <w:szCs w:val="20"/>
        </w:rPr>
      </w:pPr>
      <w:r w:rsidRPr="009841A9">
        <w:rPr>
          <w:sz w:val="20"/>
        </w:rPr>
        <w:t>Más de 6100 empleados en todo el mundo, un porcentaje de exportación del 89 % y 1366 patentes activas: así somos nosotros, así es Fronius. Fundada en 1945, esta empresa regional unipersonal se ha convertido en un líder global con 37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p w14:paraId="71724639" w14:textId="77777777" w:rsidR="00877FCE" w:rsidRPr="009841A9" w:rsidRDefault="00877FCE" w:rsidP="00877FCE">
      <w:pPr>
        <w:jc w:val="both"/>
        <w:rPr>
          <w:sz w:val="20"/>
          <w:szCs w:val="20"/>
        </w:rPr>
      </w:pPr>
    </w:p>
    <w:p w14:paraId="47FCE3C8" w14:textId="77777777" w:rsidR="00877FCE" w:rsidRPr="002F207D" w:rsidRDefault="00877FCE" w:rsidP="00877FCE">
      <w:pPr>
        <w:pStyle w:val="berschrift4"/>
        <w:jc w:val="both"/>
        <w:rPr>
          <w:sz w:val="20"/>
          <w:szCs w:val="20"/>
        </w:rPr>
      </w:pPr>
      <w:r>
        <w:rPr>
          <w:sz w:val="20"/>
        </w:rPr>
        <w:t>Contacto para consultas</w:t>
      </w:r>
    </w:p>
    <w:p w14:paraId="4BBB38DC" w14:textId="77777777" w:rsidR="00877FCE" w:rsidRPr="0015484D" w:rsidRDefault="00877FCE" w:rsidP="00877FCE">
      <w:pPr>
        <w:rPr>
          <w:sz w:val="20"/>
          <w:szCs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68813B84" w14:textId="77777777" w:rsidR="00877FCE" w:rsidRPr="00F74981" w:rsidRDefault="00877FCE" w:rsidP="00877FCE">
      <w:pPr>
        <w:spacing w:before="40" w:after="40" w:line="240" w:lineRule="auto"/>
        <w:rPr>
          <w:sz w:val="20"/>
        </w:rPr>
      </w:pPr>
    </w:p>
    <w:p w14:paraId="40D530DD" w14:textId="77777777" w:rsidR="00877FCE" w:rsidRPr="00F74981" w:rsidRDefault="00877FCE" w:rsidP="00877FCE">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2" w:history="1">
        <w:r w:rsidRPr="00F74981">
          <w:rPr>
            <w:rStyle w:val="Hyperlink"/>
            <w:sz w:val="20"/>
            <w:szCs w:val="20"/>
          </w:rPr>
          <w:t>gonzalez.laura@fronius.com</w:t>
        </w:r>
      </w:hyperlink>
      <w:r w:rsidRPr="00F74981">
        <w:rPr>
          <w:sz w:val="20"/>
        </w:rPr>
        <w:t>, C/ Miguel Faraday 2, 28906 Getafe, Madrid.</w:t>
      </w:r>
    </w:p>
    <w:p w14:paraId="4DC05611" w14:textId="77777777" w:rsidR="00877FCE" w:rsidRDefault="00877FCE" w:rsidP="00877FCE">
      <w:pPr>
        <w:spacing w:before="40" w:after="40" w:line="240" w:lineRule="auto"/>
        <w:rPr>
          <w:rStyle w:val="Hyperlink"/>
          <w:sz w:val="20"/>
          <w:szCs w:val="20"/>
        </w:rPr>
      </w:pPr>
      <w:r>
        <w:rPr>
          <w:color w:val="000000" w:themeColor="text1"/>
          <w:sz w:val="20"/>
          <w:u w:val="single"/>
        </w:rPr>
        <w:t>Ejemplar de muestra</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66B2A476" w14:textId="77777777" w:rsidR="00877FCE" w:rsidRPr="00C52F19" w:rsidRDefault="00877FCE" w:rsidP="00877FCE">
      <w:pPr>
        <w:spacing w:before="40" w:after="40" w:line="240" w:lineRule="auto"/>
        <w:rPr>
          <w:color w:val="0563C1" w:themeColor="hyperlink"/>
          <w:sz w:val="20"/>
          <w:szCs w:val="20"/>
          <w:u w:val="single"/>
        </w:rPr>
      </w:pPr>
      <w:r>
        <w:rPr>
          <w:sz w:val="20"/>
        </w:rPr>
        <w:t>Oberdorfstraße 31A, 70794 Filderstadt, Alemania</w:t>
      </w:r>
    </w:p>
    <w:p w14:paraId="6E5C3E59" w14:textId="77777777" w:rsidR="00877FCE" w:rsidRDefault="00877FCE" w:rsidP="00877FCE">
      <w:pPr>
        <w:jc w:val="both"/>
        <w:rPr>
          <w:sz w:val="16"/>
          <w:szCs w:val="16"/>
        </w:rPr>
      </w:pPr>
    </w:p>
    <w:p w14:paraId="63D0C35B" w14:textId="77777777" w:rsidR="00877FCE" w:rsidRPr="00604BFB" w:rsidRDefault="00877FCE" w:rsidP="00877FCE">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14" w:history="1">
        <w:r>
          <w:rPr>
            <w:rStyle w:val="Hyperlink"/>
            <w:sz w:val="16"/>
          </w:rPr>
          <w:t>cancellation@fronius.com</w:t>
        </w:r>
      </w:hyperlink>
      <w:r>
        <w:rPr>
          <w:sz w:val="16"/>
        </w:rPr>
        <w:t>.</w:t>
      </w:r>
    </w:p>
    <w:p w14:paraId="5AE370F8" w14:textId="77777777" w:rsidR="00877FCE" w:rsidRPr="00E17236" w:rsidRDefault="00877FCE" w:rsidP="00877FCE">
      <w:pPr>
        <w:jc w:val="both"/>
        <w:rPr>
          <w:sz w:val="20"/>
          <w:szCs w:val="20"/>
          <w:lang w:val="en-US"/>
        </w:rPr>
      </w:pPr>
    </w:p>
    <w:p w14:paraId="6271BE0C" w14:textId="77777777" w:rsidR="00877FCE" w:rsidRPr="009841A9" w:rsidRDefault="00877FCE" w:rsidP="00877FCE">
      <w:pPr>
        <w:jc w:val="both"/>
        <w:rPr>
          <w:sz w:val="16"/>
          <w:szCs w:val="16"/>
        </w:rPr>
      </w:pPr>
    </w:p>
    <w:p w14:paraId="4094B80A" w14:textId="77777777" w:rsidR="00877FCE" w:rsidRPr="00604BFB" w:rsidRDefault="00877FCE" w:rsidP="00877FCE">
      <w:pPr>
        <w:pStyle w:val="berschrift4"/>
        <w:jc w:val="both"/>
        <w:rPr>
          <w:sz w:val="16"/>
          <w:szCs w:val="16"/>
        </w:rPr>
      </w:pPr>
    </w:p>
    <w:p w14:paraId="790215F6" w14:textId="58F53B54" w:rsidR="00670F02" w:rsidRPr="00363A22" w:rsidRDefault="00670F02" w:rsidP="00877FCE">
      <w:pPr>
        <w:pStyle w:val="berschrift4"/>
        <w:jc w:val="both"/>
        <w:rPr>
          <w:sz w:val="16"/>
          <w:szCs w:val="16"/>
          <w:lang w:val="de-AT"/>
        </w:rPr>
      </w:pPr>
    </w:p>
    <w:sectPr w:rsidR="00670F02" w:rsidRPr="00363A22">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40DE"/>
    <w:rsid w:val="0001297E"/>
    <w:rsid w:val="00030C3B"/>
    <w:rsid w:val="0004753E"/>
    <w:rsid w:val="00052309"/>
    <w:rsid w:val="00097CDA"/>
    <w:rsid w:val="000C153C"/>
    <w:rsid w:val="000C4025"/>
    <w:rsid w:val="00102F0B"/>
    <w:rsid w:val="00105654"/>
    <w:rsid w:val="00141482"/>
    <w:rsid w:val="001426C7"/>
    <w:rsid w:val="0015484D"/>
    <w:rsid w:val="001668E3"/>
    <w:rsid w:val="00196F99"/>
    <w:rsid w:val="001A34C4"/>
    <w:rsid w:val="001B4713"/>
    <w:rsid w:val="001C35F0"/>
    <w:rsid w:val="001D371F"/>
    <w:rsid w:val="00202BA1"/>
    <w:rsid w:val="00215DF9"/>
    <w:rsid w:val="0024308B"/>
    <w:rsid w:val="00243F1D"/>
    <w:rsid w:val="0026515D"/>
    <w:rsid w:val="00271D71"/>
    <w:rsid w:val="00282219"/>
    <w:rsid w:val="002A045C"/>
    <w:rsid w:val="002B1BB2"/>
    <w:rsid w:val="002C13C3"/>
    <w:rsid w:val="002C6795"/>
    <w:rsid w:val="002D7A44"/>
    <w:rsid w:val="002E4785"/>
    <w:rsid w:val="002F207D"/>
    <w:rsid w:val="00333E1E"/>
    <w:rsid w:val="003405C8"/>
    <w:rsid w:val="00363A22"/>
    <w:rsid w:val="0036590E"/>
    <w:rsid w:val="00387130"/>
    <w:rsid w:val="00393D8C"/>
    <w:rsid w:val="003A323F"/>
    <w:rsid w:val="003B30C9"/>
    <w:rsid w:val="003E6855"/>
    <w:rsid w:val="00402AA3"/>
    <w:rsid w:val="00403C78"/>
    <w:rsid w:val="00424297"/>
    <w:rsid w:val="0044171E"/>
    <w:rsid w:val="004420B7"/>
    <w:rsid w:val="00446048"/>
    <w:rsid w:val="00451F65"/>
    <w:rsid w:val="00455012"/>
    <w:rsid w:val="00470A9D"/>
    <w:rsid w:val="004A1FC4"/>
    <w:rsid w:val="004B317B"/>
    <w:rsid w:val="004D3344"/>
    <w:rsid w:val="0051114E"/>
    <w:rsid w:val="00512C4C"/>
    <w:rsid w:val="005351C3"/>
    <w:rsid w:val="00551A0C"/>
    <w:rsid w:val="00554093"/>
    <w:rsid w:val="00582BF5"/>
    <w:rsid w:val="005923B9"/>
    <w:rsid w:val="005A26BF"/>
    <w:rsid w:val="005B6909"/>
    <w:rsid w:val="005C7E03"/>
    <w:rsid w:val="005D13F0"/>
    <w:rsid w:val="005E36D5"/>
    <w:rsid w:val="00604BFB"/>
    <w:rsid w:val="00650CE5"/>
    <w:rsid w:val="00651247"/>
    <w:rsid w:val="00670F02"/>
    <w:rsid w:val="0068572B"/>
    <w:rsid w:val="006B7BDF"/>
    <w:rsid w:val="006D2AEF"/>
    <w:rsid w:val="006D6430"/>
    <w:rsid w:val="00703F47"/>
    <w:rsid w:val="00711B3F"/>
    <w:rsid w:val="00715E72"/>
    <w:rsid w:val="00723F58"/>
    <w:rsid w:val="00730C60"/>
    <w:rsid w:val="0074545E"/>
    <w:rsid w:val="00774D77"/>
    <w:rsid w:val="007A57E3"/>
    <w:rsid w:val="007C0A19"/>
    <w:rsid w:val="007C61B7"/>
    <w:rsid w:val="00816914"/>
    <w:rsid w:val="00831633"/>
    <w:rsid w:val="008404EE"/>
    <w:rsid w:val="00877FCE"/>
    <w:rsid w:val="008936B2"/>
    <w:rsid w:val="00897AA5"/>
    <w:rsid w:val="008B53CF"/>
    <w:rsid w:val="008C5190"/>
    <w:rsid w:val="008D7983"/>
    <w:rsid w:val="008E1774"/>
    <w:rsid w:val="008F4ED5"/>
    <w:rsid w:val="00906679"/>
    <w:rsid w:val="00962B6D"/>
    <w:rsid w:val="00963BB4"/>
    <w:rsid w:val="00971EAE"/>
    <w:rsid w:val="009753A9"/>
    <w:rsid w:val="009A3D25"/>
    <w:rsid w:val="009C1A10"/>
    <w:rsid w:val="009D10E8"/>
    <w:rsid w:val="009D1B67"/>
    <w:rsid w:val="009D65BD"/>
    <w:rsid w:val="009F6929"/>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C17BEE"/>
    <w:rsid w:val="00C34C3C"/>
    <w:rsid w:val="00C44B9C"/>
    <w:rsid w:val="00C85609"/>
    <w:rsid w:val="00C921A2"/>
    <w:rsid w:val="00CA56AD"/>
    <w:rsid w:val="00CB1448"/>
    <w:rsid w:val="00CC0612"/>
    <w:rsid w:val="00CF63C4"/>
    <w:rsid w:val="00D018C9"/>
    <w:rsid w:val="00D0522E"/>
    <w:rsid w:val="00D3698E"/>
    <w:rsid w:val="00D61309"/>
    <w:rsid w:val="00D7549F"/>
    <w:rsid w:val="00D77E57"/>
    <w:rsid w:val="00D81F9F"/>
    <w:rsid w:val="00DA2ED8"/>
    <w:rsid w:val="00DA790D"/>
    <w:rsid w:val="00DB4CF3"/>
    <w:rsid w:val="00DE201A"/>
    <w:rsid w:val="00DF5290"/>
    <w:rsid w:val="00E83DD7"/>
    <w:rsid w:val="00E9591C"/>
    <w:rsid w:val="00EA26EC"/>
    <w:rsid w:val="00EB1D30"/>
    <w:rsid w:val="00EC5B3C"/>
    <w:rsid w:val="00EC6E68"/>
    <w:rsid w:val="00ED1A55"/>
    <w:rsid w:val="00ED5549"/>
    <w:rsid w:val="00EE35FD"/>
    <w:rsid w:val="00EF6255"/>
    <w:rsid w:val="00F213F0"/>
    <w:rsid w:val="00F4277F"/>
    <w:rsid w:val="00F46CE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9D1B6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gonzalez.laur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Hohe Ziele und nachhaltiges Wachstum 2023/02</title_TI_DE>
    <title_TI_NO xmlns="dc0c2c3d-e9fc-4a0d-820b-87ab82e65f20">High targets and sustainable growth 2023/02</title_TI_NO>
    <Documenttype_PT xmlns="dc0c2c3d-e9fc-4a0d-820b-87ab82e65f20">Comunicado à imprensa</Documenttype_PT>
    <Documenttype_RU xmlns="dc0c2c3d-e9fc-4a0d-820b-87ab82e65f20">Пресс-релиз</Documenttype_RU>
    <title_TI_TR xmlns="dc0c2c3d-e9fc-4a0d-820b-87ab82e65f20">High targets and sustainable growth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High targets and sustainable growth 2023/02</title_TI_TH>
    <Licence_x0020_information xmlns="dc0c2c3d-e9fc-4a0d-820b-87ab82e65f20">(c) Fronius International</Licence_x0020_information>
    <title_TI_EA xmlns="dc0c2c3d-e9fc-4a0d-820b-87ab82e65f20">High targets and sustainable growth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High targets and sustainable growth 2023/02</title_TI_DA>
    <Documenttype_TR xmlns="dc0c2c3d-e9fc-4a0d-820b-87ab82e65f20">Basın bülteni</Documenttype_TR>
    <title_TI_PL xmlns="dc0c2c3d-e9fc-4a0d-820b-87ab82e65f20">High targets and sustainable growth 2023/02</title_TI_PL>
    <Documenttype_TH xmlns="dc0c2c3d-e9fc-4a0d-820b-87ab82e65f20">ข่าวประชาสัมพันธ์</Documenttype_TH>
    <title_TI_EL xmlns="dc0c2c3d-e9fc-4a0d-820b-87ab82e65f20">High targets and sustainable growth 2023/02</title_TI_EL>
    <Documenttype_EA xmlns="dc0c2c3d-e9fc-4a0d-820b-87ab82e65f20">Press Release</Documenttype_EA>
    <Web_x0020_Display_x0020_Title_x0020_ET xmlns="dc0c2c3d-e9fc-4a0d-820b-87ab82e65f20">High targets and sustainable growth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High targets and sustainable growth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High targets and sustainable growth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C-138981</FileMaster>
    <title_TI_NL xmlns="dc0c2c3d-e9fc-4a0d-820b-87ab82e65f20">High targets and sustainable growth 2023/02</title_TI_NL>
    <contentservId xmlns="c4543867-fb67-4424-a255-4d54d75e50e3">C-138984</contentservId>
    <title_TI_IT xmlns="dc0c2c3d-e9fc-4a0d-820b-87ab82e65f20">High targets and sustainable growth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High targets and sustainable growth 2023/02</title_TI_UA>
    <title_TI_JP xmlns="dc0c2c3d-e9fc-4a0d-820b-87ab82e65f20">High targets and sustainable growth 2023/02</title_TI_JP>
    <Documenttype_NL xmlns="dc0c2c3d-e9fc-4a0d-820b-87ab82e65f20">Persbericht</Documenttype_NL>
    <title_TI_RO xmlns="dc0c2c3d-e9fc-4a0d-820b-87ab82e65f20">High targets and sustainable growth 2023/02</title_TI_RO>
    <Documenttype_NB xmlns="c4543867-fb67-4424-a255-4d54d75e50e3">Presseinformasjon</Documenttype_NB>
    <title_ti_nb xmlns="dc0c2c3d-e9fc-4a0d-820b-87ab82e65f20" xsi:nil="true"/>
    <title_TI_ES xmlns="dc0c2c3d-e9fc-4a0d-820b-87ab82e65f20">High targets and sustainable growth 2023/02</title_TI_ES>
    <title_TI_JA xmlns="dc0c2c3d-e9fc-4a0d-820b-87ab82e65f20">High targets and sustainable growth 2023/02</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High targets and sustainable growth 2023/02</title_TI_EN>
    <MRMKeyWords xmlns="dc0c2c3d-e9fc-4a0d-820b-87ab82e65f20">#Presse#Sattledt#Solar Energy#Presseaussendung#Fronius#Unternehmen#GEN24#Tauro#Corporate#press#press release#Company#Taurus#presse#sattledt#solarenergy#presseaussendung#pressrelease#fronius#unternehmen#company#gen24#tauro#corporate#</MRMKeyWords>
    <title_ti_zh xmlns="dc0c2c3d-e9fc-4a0d-820b-87ab82e65f20">High targets and sustainable growth 2023/02</title_ti_zh>
    <MRMID xmlns="dc0c2c3d-e9fc-4a0d-820b-87ab82e65f20">M-199187</MRMID>
    <Documenttype_UK xmlns="c4543867-fb67-4424-a255-4d54d75e50e3">Прес-релізи</Documenttype_UK>
    <title_TI_SK xmlns="dc0c2c3d-e9fc-4a0d-820b-87ab82e65f20">High targets and sustainable growth 2023/02</title_TI_SK>
    <Documenttype_UA xmlns="dc0c2c3d-e9fc-4a0d-820b-87ab82e65f20">Прес-релізи</Documenttype_UA>
    <title_TI_HU xmlns="dc0c2c3d-e9fc-4a0d-820b-87ab82e65f20">High targets and sustainable growth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High targets and sustainable growth 2023/02</title_TI_PT>
    <title_ti_fi xmlns="dc0c2c3d-e9fc-4a0d-820b-87ab82e65f20">High targets and sustainable growth 2023/02</title_ti_fi>
    <Country xmlns="dc0c2c3d-e9fc-4a0d-820b-87ab82e65f20">
      <Value>94</Value>
      <Value>38</Value>
      <Value>28</Value>
    </Country>
    <fro_spid xmlns="dc0c2c3d-e9fc-4a0d-820b-87ab82e65f20">9188;SE</fro_spid>
    <title_TI_RU xmlns="dc0c2c3d-e9fc-4a0d-820b-87ab82e65f20">High targets and sustainable growth 2023/02</title_TI_RU>
    <Documenttype_JA xmlns="dc0c2c3d-e9fc-4a0d-820b-87ab82e65f20">ニュースリリース</Documenttype_JA>
    <Colour_x0020_space xmlns="dc0c2c3d-e9fc-4a0d-820b-87ab82e65f20" xsi:nil="true"/>
    <title_TI_CS xmlns="dc0c2c3d-e9fc-4a0d-820b-87ab82e65f20">High targets and sustainable growth 2023/02</title_TI_CS>
    <title_TI_AR xmlns="dc0c2c3d-e9fc-4a0d-820b-87ab82e65f20">High targets and sustainable growth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42E2CFA-3176-4518-98FE-F1C411AF1BE8}"/>
</file>

<file path=customXml/itemProps2.xml><?xml version="1.0" encoding="utf-8"?>
<ds:datastoreItem xmlns:ds="http://schemas.openxmlformats.org/officeDocument/2006/customXml" ds:itemID="{EA67990C-ACEA-45BC-BEBB-5CE6CF4F3CBE}"/>
</file>

<file path=customXml/itemProps3.xml><?xml version="1.0" encoding="utf-8"?>
<ds:datastoreItem xmlns:ds="http://schemas.openxmlformats.org/officeDocument/2006/customXml" ds:itemID="{FA939B32-A19D-416C-B98C-850BFB855A2F}"/>
</file>

<file path=customXml/itemProps4.xml><?xml version="1.0" encoding="utf-8"?>
<ds:datastoreItem xmlns:ds="http://schemas.openxmlformats.org/officeDocument/2006/customXml" ds:itemID="{343AE4C1-CCB9-424B-B6F5-C802CD8E5E37}"/>
</file>

<file path=customXml/itemProps5.xml><?xml version="1.0" encoding="utf-8"?>
<ds:datastoreItem xmlns:ds="http://schemas.openxmlformats.org/officeDocument/2006/customXml" ds:itemID="{70F929F9-F97C-49F9-B798-F403443185AF}"/>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958</Words>
  <Characters>6039</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SE_PR_High_targets_and_sustainable_growth_ES</dc:title>
  <dc:subject/>
  <dc:creator>Kneringer Daniel</dc:creator>
  <cp:keywords/>
  <dc:description/>
  <cp:lastModifiedBy>Majetic Kristina</cp:lastModifiedBy>
  <cp:revision>10</cp:revision>
  <cp:lastPrinted>2023-01-17T12:28:00Z</cp:lastPrinted>
  <dcterms:created xsi:type="dcterms:W3CDTF">2023-01-23T08:19:00Z</dcterms:created>
  <dcterms:modified xsi:type="dcterms:W3CDTF">2023-02-08T10:17:00Z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259;##ES|dd4c9c45-94c3-4cf4-ab9c-523f2b58f76e</vt:lpwstr>
  </property>
  <property fmtid="{D5CDD505-2E9C-101B-9397-08002B2CF9AE}" pid="11" name="FroConDoc_language">
    <vt:lpwstr>1;#DE|676160ea-61f7-4cef-8b4c-1724dec2206e</vt:lpwstr>
  </property>
</Properties>
</file>