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D6048F" w:rsidRDefault="00ED5549" w:rsidP="00604BFB">
      <w:pPr>
        <w:jc w:val="both"/>
        <w:rPr>
          <w:sz w:val="20"/>
          <w:szCs w:val="20"/>
        </w:rPr>
      </w:pPr>
    </w:p>
    <w:p w14:paraId="687BC23B" w14:textId="77777777" w:rsidR="00ED5549" w:rsidRPr="00D6048F" w:rsidRDefault="00ED5549" w:rsidP="00604BFB">
      <w:pPr>
        <w:jc w:val="both"/>
        <w:rPr>
          <w:sz w:val="20"/>
          <w:szCs w:val="20"/>
        </w:rPr>
      </w:pPr>
    </w:p>
    <w:p w14:paraId="64EAFB9B" w14:textId="273A2B2D" w:rsidR="002D7A44" w:rsidRPr="00D6048F" w:rsidRDefault="00ED5549" w:rsidP="00604BFB">
      <w:pPr>
        <w:pStyle w:val="berschrift1"/>
        <w:jc w:val="both"/>
      </w:pPr>
      <w:r w:rsidRPr="00D6048F">
        <w:t>News release</w:t>
      </w:r>
    </w:p>
    <w:p w14:paraId="07CB8F03" w14:textId="06F6FC04" w:rsidR="00ED5549" w:rsidRPr="00D6048F" w:rsidRDefault="0051114E" w:rsidP="00604BFB">
      <w:pPr>
        <w:jc w:val="both"/>
      </w:pPr>
      <w:r w:rsidRPr="00D6048F">
        <w:rPr>
          <w:sz w:val="20"/>
        </w:rPr>
        <w:t>Solar Energy</w:t>
      </w:r>
    </w:p>
    <w:p w14:paraId="3EF5C6DD" w14:textId="6608F6CF" w:rsidR="00ED5549" w:rsidRPr="00D6048F" w:rsidRDefault="00ED5549" w:rsidP="00604BFB">
      <w:pPr>
        <w:jc w:val="both"/>
        <w:rPr>
          <w:sz w:val="20"/>
          <w:szCs w:val="20"/>
        </w:rPr>
      </w:pPr>
    </w:p>
    <w:p w14:paraId="00F13E77" w14:textId="77777777" w:rsidR="00E83DD7" w:rsidRPr="00D6048F" w:rsidRDefault="00E83DD7" w:rsidP="00604BFB">
      <w:pPr>
        <w:jc w:val="both"/>
        <w:rPr>
          <w:sz w:val="20"/>
          <w:szCs w:val="20"/>
        </w:rPr>
      </w:pPr>
    </w:p>
    <w:p w14:paraId="4F8F137E" w14:textId="0EEE1F1D" w:rsidR="006D6430" w:rsidRPr="00D6048F" w:rsidRDefault="00A52F69" w:rsidP="00604BFB">
      <w:pPr>
        <w:pStyle w:val="HeadlineGreen"/>
        <w:jc w:val="both"/>
        <w:rPr>
          <w:color w:val="auto"/>
          <w:sz w:val="22"/>
          <w:szCs w:val="20"/>
        </w:rPr>
      </w:pPr>
      <w:r w:rsidRPr="00D6048F">
        <w:rPr>
          <w:color w:val="auto"/>
          <w:sz w:val="22"/>
        </w:rPr>
        <w:t>30 years of Fronius Solar Energy</w:t>
      </w:r>
    </w:p>
    <w:p w14:paraId="726FD8A5" w14:textId="185CA760" w:rsidR="002D7A44" w:rsidRPr="00D6048F" w:rsidRDefault="00B66863" w:rsidP="00604BFB">
      <w:pPr>
        <w:pStyle w:val="berschrift2"/>
        <w:jc w:val="both"/>
        <w:rPr>
          <w:color w:val="auto"/>
          <w:sz w:val="32"/>
          <w:szCs w:val="28"/>
        </w:rPr>
      </w:pPr>
      <w:r w:rsidRPr="00D6048F">
        <w:rPr>
          <w:color w:val="auto"/>
          <w:sz w:val="32"/>
        </w:rPr>
        <w:t>High targets and sustainable growth</w:t>
      </w:r>
    </w:p>
    <w:p w14:paraId="2CC4F935" w14:textId="77777777" w:rsidR="00ED5549" w:rsidRPr="00D6048F" w:rsidRDefault="00ED5549" w:rsidP="00604BFB">
      <w:pPr>
        <w:jc w:val="both"/>
        <w:rPr>
          <w:sz w:val="20"/>
          <w:szCs w:val="20"/>
        </w:rPr>
      </w:pPr>
    </w:p>
    <w:p w14:paraId="47D72435" w14:textId="111BDF3A" w:rsidR="001668E3" w:rsidRPr="00D6048F" w:rsidRDefault="00ED5549" w:rsidP="00DB4CF3">
      <w:pPr>
        <w:jc w:val="both"/>
        <w:rPr>
          <w:sz w:val="24"/>
          <w:szCs w:val="24"/>
        </w:rPr>
      </w:pPr>
      <w:r w:rsidRPr="00D6048F">
        <w:rPr>
          <w:sz w:val="24"/>
        </w:rPr>
        <w:t>(Wels, 09/02/2023) Fronius Solar Energy has been developing innovative products and solutions with which solar energy can be generated, stored, distributed, and consumed cost-efficiently and intelligently since 1992. We have also set ambitious goals for the coming years, with a focus on sustainable growth and value creation in Europe, as well as the continuous development of products and solutions.</w:t>
      </w:r>
    </w:p>
    <w:p w14:paraId="2394DF3F" w14:textId="77777777" w:rsidR="003E6855" w:rsidRPr="00D6048F" w:rsidRDefault="003E6855" w:rsidP="00604BFB">
      <w:pPr>
        <w:jc w:val="both"/>
        <w:rPr>
          <w:sz w:val="20"/>
          <w:szCs w:val="20"/>
        </w:rPr>
      </w:pPr>
    </w:p>
    <w:p w14:paraId="582041D6" w14:textId="44048003" w:rsidR="00402AA3" w:rsidRPr="00D6048F" w:rsidRDefault="00243F1D" w:rsidP="00604BFB">
      <w:pPr>
        <w:jc w:val="both"/>
        <w:rPr>
          <w:sz w:val="20"/>
          <w:szCs w:val="20"/>
        </w:rPr>
      </w:pPr>
      <w:r w:rsidRPr="00D6048F">
        <w:rPr>
          <w:sz w:val="20"/>
        </w:rPr>
        <w:t xml:space="preserve">The targets for 2023 are clear: 3,000 Fronius inverters are to be installed every day by the end of the year. </w:t>
      </w:r>
      <w:bookmarkStart w:id="0" w:name="_Hlk124854438"/>
      <w:r w:rsidRPr="00D6048F">
        <w:rPr>
          <w:sz w:val="20"/>
        </w:rPr>
        <w:t>In doing so, Fronius Solar Energy will have installed 35 GW of power since the first Fronius Sunrise</w:t>
      </w:r>
      <w:r w:rsidRPr="00D6048F">
        <w:rPr>
          <w:sz w:val="20"/>
          <w:vertAlign w:val="superscript"/>
        </w:rPr>
        <w:t>1</w:t>
      </w:r>
      <w:r w:rsidRPr="00D6048F">
        <w:rPr>
          <w:sz w:val="20"/>
        </w:rPr>
        <w:t xml:space="preserve"> was sold. That is 3.9 million inverters, generating 46.8 TWh of green energy every year, corresponding to 44 hydroelectric power plants². </w:t>
      </w:r>
      <w:bookmarkEnd w:id="0"/>
    </w:p>
    <w:p w14:paraId="4A0AE168" w14:textId="7BAFCA27" w:rsidR="00243F1D" w:rsidRPr="00D6048F" w:rsidRDefault="00243F1D" w:rsidP="00604BFB">
      <w:pPr>
        <w:jc w:val="both"/>
        <w:rPr>
          <w:sz w:val="20"/>
          <w:szCs w:val="20"/>
        </w:rPr>
      </w:pPr>
      <w:bookmarkStart w:id="1" w:name="_Hlk124325165"/>
      <w:r w:rsidRPr="00D6048F">
        <w:rPr>
          <w:sz w:val="20"/>
        </w:rPr>
        <w:t xml:space="preserve">Martin Hackl, Global Director Marketing &amp; Sales Business Unit Solar Energy, Fronius International GmbH, </w:t>
      </w:r>
      <w:bookmarkEnd w:id="1"/>
      <w:r w:rsidRPr="00D6048F">
        <w:rPr>
          <w:sz w:val="20"/>
        </w:rPr>
        <w:t xml:space="preserve">already sees the plans for the coming years clearly: </w:t>
      </w:r>
      <w:r w:rsidRPr="00D6048F">
        <w:rPr>
          <w:i/>
          <w:sz w:val="20"/>
        </w:rPr>
        <w:t xml:space="preserve">“Our goal is a strong digital and functional networking of Fronius systems with energy sector integration products in order to bring more solar power to the sectors of heating, cooling, and mobility. This ensures further growth towards our goal of 24 hours of sun.” </w:t>
      </w:r>
      <w:r w:rsidRPr="00D6048F">
        <w:rPr>
          <w:sz w:val="20"/>
        </w:rPr>
        <w:t>Finding pioneering solutions for technical challenges has been the guiding principle of the Austrian family-owned company right from the very beginning.</w:t>
      </w:r>
    </w:p>
    <w:p w14:paraId="735FC345" w14:textId="12E8FFBE" w:rsidR="00EF6255" w:rsidRPr="00D6048F" w:rsidRDefault="00B15E79" w:rsidP="00604BFB">
      <w:pPr>
        <w:jc w:val="both"/>
        <w:rPr>
          <w:sz w:val="20"/>
          <w:szCs w:val="20"/>
        </w:rPr>
      </w:pPr>
      <w:r w:rsidRPr="00D6048F">
        <w:rPr>
          <w:sz w:val="20"/>
        </w:rPr>
        <w:t>The continuous improvement of products and solutions as well as the strong focus on sustainability and value creation in Europe are top priorities, which can be seen in the latest developments:</w:t>
      </w:r>
    </w:p>
    <w:p w14:paraId="286ED61B" w14:textId="589CF7AD" w:rsidR="00D81F9F" w:rsidRPr="00D6048F" w:rsidRDefault="00EC5B3C" w:rsidP="00D81F9F">
      <w:pPr>
        <w:jc w:val="both"/>
        <w:rPr>
          <w:sz w:val="20"/>
          <w:szCs w:val="20"/>
          <w:u w:val="single"/>
        </w:rPr>
      </w:pPr>
      <w:r w:rsidRPr="00D6048F">
        <w:rPr>
          <w:sz w:val="20"/>
          <w:u w:val="single"/>
        </w:rPr>
        <w:t xml:space="preserve">New version of the </w:t>
      </w:r>
      <w:r w:rsidR="005805D5">
        <w:rPr>
          <w:sz w:val="20"/>
          <w:u w:val="single"/>
        </w:rPr>
        <w:t xml:space="preserve">Fronius </w:t>
      </w:r>
      <w:r w:rsidRPr="00D6048F">
        <w:rPr>
          <w:sz w:val="20"/>
          <w:u w:val="single"/>
        </w:rPr>
        <w:t>Tauro</w:t>
      </w:r>
    </w:p>
    <w:p w14:paraId="0B342BA5" w14:textId="160D8F86" w:rsidR="00DA2ED8" w:rsidRPr="00D6048F" w:rsidRDefault="005E36D5" w:rsidP="00D81F9F">
      <w:pPr>
        <w:jc w:val="both"/>
        <w:rPr>
          <w:sz w:val="20"/>
          <w:szCs w:val="20"/>
        </w:rPr>
      </w:pPr>
      <w:r w:rsidRPr="00D6048F">
        <w:rPr>
          <w:sz w:val="20"/>
        </w:rPr>
        <w:t>The new 30 amperes version of the Fronius Tauro³ will be available from February 2023, providing a solution for the ever-increasing number of high-current modules. These are PV modules with advanced solar wafers which carry more current and therefore help to reduce system costs. The new version of the Tauro boasts maximum flexibility in terms of system design and low total system operating costs.</w:t>
      </w:r>
    </w:p>
    <w:p w14:paraId="53280E4D" w14:textId="77777777" w:rsidR="00A94F59" w:rsidRPr="00D6048F" w:rsidRDefault="00A94F59" w:rsidP="00D81F9F">
      <w:pPr>
        <w:jc w:val="both"/>
        <w:rPr>
          <w:sz w:val="20"/>
          <w:szCs w:val="20"/>
        </w:rPr>
      </w:pPr>
    </w:p>
    <w:p w14:paraId="3E954B53" w14:textId="2D032E97" w:rsidR="00EC5B3C" w:rsidRPr="00D6048F" w:rsidRDefault="00097CDA" w:rsidP="00D81F9F">
      <w:pPr>
        <w:jc w:val="both"/>
        <w:rPr>
          <w:sz w:val="20"/>
          <w:szCs w:val="20"/>
          <w:u w:val="single"/>
        </w:rPr>
      </w:pPr>
      <w:r w:rsidRPr="00D6048F">
        <w:rPr>
          <w:sz w:val="20"/>
          <w:u w:val="single"/>
        </w:rPr>
        <w:t>Fronius GEN24 Plus – Climate benefits of the entire system now even higher</w:t>
      </w:r>
    </w:p>
    <w:p w14:paraId="743C2950" w14:textId="37FDDD8F" w:rsidR="00D81F9F" w:rsidRPr="00D6048F" w:rsidRDefault="00971EAE" w:rsidP="00D81F9F">
      <w:pPr>
        <w:jc w:val="both"/>
        <w:rPr>
          <w:sz w:val="20"/>
          <w:szCs w:val="20"/>
        </w:rPr>
      </w:pPr>
      <w:r w:rsidRPr="00D6048F">
        <w:rPr>
          <w:sz w:val="20"/>
        </w:rPr>
        <w:lastRenderedPageBreak/>
        <w:t xml:space="preserve">A highlight in the sustainability work at Fronius is the life cycle assessment (LCA) for the Fronius GEN24 Plus and the Fronius Tauro. </w:t>
      </w:r>
      <w:r w:rsidRPr="00D6048F">
        <w:rPr>
          <w:i/>
          <w:sz w:val="20"/>
        </w:rPr>
        <w:t>“Evidence-based sustainability is just as important to us as the integration of results into product development to continuously improve our sustainability performance,”</w:t>
      </w:r>
      <w:r w:rsidRPr="00D6048F">
        <w:rPr>
          <w:sz w:val="20"/>
        </w:rPr>
        <w:t xml:space="preserve"> says Katrin Helmberger, Head of Corporate Sustainability, Fronius International GmbH. Data freshness is highly relevant here, which is why updates of the life cycle assessment are carried out as required.</w:t>
      </w:r>
    </w:p>
    <w:p w14:paraId="0BC3BF17" w14:textId="2132150A" w:rsidR="00B46B7B" w:rsidRPr="00D6048F" w:rsidRDefault="00971EAE" w:rsidP="00B46B7B">
      <w:pPr>
        <w:jc w:val="both"/>
        <w:rPr>
          <w:rFonts w:cs="Noto Sans"/>
          <w:i/>
          <w:iCs/>
          <w:sz w:val="20"/>
          <w:szCs w:val="20"/>
        </w:rPr>
      </w:pPr>
      <w:r w:rsidRPr="00D6048F">
        <w:rPr>
          <w:sz w:val="20"/>
        </w:rPr>
        <w:t>The most recent calculations of the Fronius GEN24 Plus LCA show that the climate benefits of the entire system have even improved. The CO</w:t>
      </w:r>
      <w:r w:rsidRPr="00D6048F">
        <w:rPr>
          <w:sz w:val="20"/>
          <w:vertAlign w:val="subscript"/>
        </w:rPr>
        <w:t>2e</w:t>
      </w:r>
      <w:r w:rsidRPr="00D6048F">
        <w:rPr>
          <w:sz w:val="20"/>
        </w:rPr>
        <w:t xml:space="preserve"> payback time has reduced from 1.2–5.5 years to 0.7–3.3. years</w:t>
      </w:r>
      <w:r w:rsidRPr="00D6048F">
        <w:rPr>
          <w:sz w:val="20"/>
          <w:vertAlign w:val="superscript"/>
        </w:rPr>
        <w:t>4</w:t>
      </w:r>
      <w:r w:rsidRPr="00D6048F">
        <w:rPr>
          <w:sz w:val="20"/>
        </w:rPr>
        <w:t>.</w:t>
      </w:r>
    </w:p>
    <w:p w14:paraId="0CCF2CDC" w14:textId="3092A1B4" w:rsidR="00971EAE" w:rsidRPr="00D6048F" w:rsidRDefault="005923B9" w:rsidP="00D81F9F">
      <w:pPr>
        <w:jc w:val="both"/>
        <w:rPr>
          <w:sz w:val="20"/>
          <w:szCs w:val="20"/>
        </w:rPr>
      </w:pPr>
      <w:r w:rsidRPr="00D6048F">
        <w:rPr>
          <w:sz w:val="20"/>
        </w:rPr>
        <w:t xml:space="preserve">We are striving for a complete decarbonization of all Fronius company premises by 2025. Furthermore, at Fronius we are already using 100 percent green power and have also cut greenhouse gas intensity in half between 2014 and 2021. </w:t>
      </w:r>
      <w:r w:rsidRPr="00D6048F">
        <w:rPr>
          <w:i/>
          <w:sz w:val="20"/>
        </w:rPr>
        <w:t>“These results speak for themselves. We focus on planning and implementing technical and organizational measures instead of compensating for emissions,”</w:t>
      </w:r>
      <w:r w:rsidRPr="00D6048F">
        <w:rPr>
          <w:sz w:val="20"/>
        </w:rPr>
        <w:t xml:space="preserve"> explains Helmberger.</w:t>
      </w:r>
    </w:p>
    <w:p w14:paraId="597DB150" w14:textId="77777777" w:rsidR="00EB1D30" w:rsidRPr="00D6048F" w:rsidRDefault="00EB1D30" w:rsidP="00D81F9F">
      <w:pPr>
        <w:jc w:val="both"/>
        <w:rPr>
          <w:sz w:val="20"/>
          <w:szCs w:val="20"/>
        </w:rPr>
      </w:pPr>
    </w:p>
    <w:p w14:paraId="2A128D8A" w14:textId="7546F525" w:rsidR="00CF63C4" w:rsidRPr="00D6048F" w:rsidRDefault="0026515D" w:rsidP="00CF63C4">
      <w:pPr>
        <w:autoSpaceDE w:val="0"/>
        <w:autoSpaceDN w:val="0"/>
        <w:adjustRightInd w:val="0"/>
        <w:spacing w:after="0" w:line="240" w:lineRule="auto"/>
        <w:rPr>
          <w:sz w:val="16"/>
          <w:szCs w:val="16"/>
        </w:rPr>
      </w:pPr>
      <w:r w:rsidRPr="00D6048F">
        <w:rPr>
          <w:sz w:val="16"/>
          <w:vertAlign w:val="superscript"/>
        </w:rPr>
        <w:t xml:space="preserve">1 </w:t>
      </w:r>
      <w:r w:rsidRPr="00D6048F">
        <w:rPr>
          <w:sz w:val="16"/>
        </w:rPr>
        <w:t>The Fronius Sunrise has been used</w:t>
      </w:r>
      <w:r w:rsidRPr="00D6048F">
        <w:rPr>
          <w:rFonts w:ascii="Arial" w:hAnsi="Arial"/>
          <w:sz w:val="18"/>
        </w:rPr>
        <w:t xml:space="preserve"> </w:t>
      </w:r>
      <w:r w:rsidRPr="00D6048F">
        <w:rPr>
          <w:sz w:val="16"/>
        </w:rPr>
        <w:t>to implement small photovoltaic systems ranging in size from 600 Wp and 1,400 Wp</w:t>
      </w:r>
      <w:r w:rsidRPr="00D6048F">
        <w:t>.</w:t>
      </w:r>
    </w:p>
    <w:p w14:paraId="0F27EECA" w14:textId="47CDD9BF" w:rsidR="009A3D25" w:rsidRPr="00D6048F" w:rsidRDefault="009A3D25" w:rsidP="00CF63C4">
      <w:pPr>
        <w:autoSpaceDE w:val="0"/>
        <w:autoSpaceDN w:val="0"/>
        <w:adjustRightInd w:val="0"/>
        <w:spacing w:after="0" w:line="240" w:lineRule="auto"/>
        <w:rPr>
          <w:sz w:val="16"/>
          <w:szCs w:val="16"/>
        </w:rPr>
      </w:pPr>
      <w:r w:rsidRPr="00D6048F">
        <w:rPr>
          <w:sz w:val="16"/>
          <w:vertAlign w:val="superscript"/>
        </w:rPr>
        <w:t xml:space="preserve">2 </w:t>
      </w:r>
      <w:r w:rsidRPr="00D6048F">
        <w:rPr>
          <w:sz w:val="16"/>
        </w:rPr>
        <w:t xml:space="preserve">Comparison to Vienna-Freudenau hydroelectric power plant </w:t>
      </w:r>
    </w:p>
    <w:p w14:paraId="55A96AB0" w14:textId="1E080863" w:rsidR="00393D8C" w:rsidRPr="00D6048F" w:rsidRDefault="009A3D25" w:rsidP="00B46B7B">
      <w:pPr>
        <w:spacing w:after="0"/>
        <w:jc w:val="both"/>
        <w:rPr>
          <w:sz w:val="16"/>
          <w:szCs w:val="16"/>
        </w:rPr>
      </w:pPr>
      <w:r w:rsidRPr="00D6048F">
        <w:rPr>
          <w:sz w:val="16"/>
          <w:vertAlign w:val="superscript"/>
        </w:rPr>
        <w:t xml:space="preserve">3 </w:t>
      </w:r>
      <w:r w:rsidRPr="00D6048F">
        <w:rPr>
          <w:sz w:val="16"/>
        </w:rPr>
        <w:t>Fronius Tauro Direct version</w:t>
      </w:r>
    </w:p>
    <w:p w14:paraId="365171AC" w14:textId="04524658" w:rsidR="00B46B7B" w:rsidRPr="00D6048F" w:rsidRDefault="00B46B7B" w:rsidP="00B46B7B">
      <w:pPr>
        <w:spacing w:after="0"/>
        <w:jc w:val="both"/>
        <w:rPr>
          <w:sz w:val="16"/>
          <w:szCs w:val="16"/>
        </w:rPr>
      </w:pPr>
      <w:r w:rsidRPr="00D6048F">
        <w:rPr>
          <w:sz w:val="16"/>
          <w:vertAlign w:val="superscript"/>
        </w:rPr>
        <w:t xml:space="preserve">4 </w:t>
      </w:r>
      <w:r w:rsidRPr="00D6048F">
        <w:rPr>
          <w:sz w:val="16"/>
        </w:rPr>
        <w:t>Range: Best case – Worst case</w:t>
      </w:r>
    </w:p>
    <w:p w14:paraId="27EFE6A5" w14:textId="4404593C" w:rsidR="0044171E" w:rsidRDefault="0044171E" w:rsidP="00604BFB">
      <w:pPr>
        <w:jc w:val="both"/>
        <w:rPr>
          <w:sz w:val="20"/>
          <w:szCs w:val="20"/>
        </w:rPr>
      </w:pPr>
    </w:p>
    <w:p w14:paraId="3487961A" w14:textId="1C3CD534" w:rsidR="004D4DB4" w:rsidRPr="00E53199" w:rsidRDefault="004D4DB4" w:rsidP="004D4DB4">
      <w:pPr>
        <w:spacing w:before="40" w:after="40"/>
        <w:jc w:val="both"/>
        <w:rPr>
          <w:sz w:val="20"/>
          <w:szCs w:val="20"/>
        </w:rPr>
      </w:pPr>
      <w:r>
        <w:rPr>
          <w:sz w:val="20"/>
        </w:rPr>
        <w:t xml:space="preserve">Words: </w:t>
      </w:r>
      <w:r w:rsidR="0053538B">
        <w:rPr>
          <w:sz w:val="20"/>
        </w:rPr>
        <w:t>52</w:t>
      </w:r>
      <w:r w:rsidR="005805D5">
        <w:rPr>
          <w:sz w:val="20"/>
        </w:rPr>
        <w:t>9</w:t>
      </w:r>
    </w:p>
    <w:p w14:paraId="50963DE2" w14:textId="78486DF6" w:rsidR="004D4DB4" w:rsidRPr="00E53199" w:rsidRDefault="004D4DB4" w:rsidP="004D4DB4">
      <w:pPr>
        <w:spacing w:before="40" w:after="40"/>
        <w:jc w:val="both"/>
        <w:rPr>
          <w:sz w:val="20"/>
          <w:szCs w:val="20"/>
        </w:rPr>
      </w:pPr>
      <w:r>
        <w:rPr>
          <w:sz w:val="20"/>
        </w:rPr>
        <w:t>Characters (including spaces): 3,</w:t>
      </w:r>
      <w:r w:rsidR="0053538B">
        <w:rPr>
          <w:sz w:val="20"/>
        </w:rPr>
        <w:t>35</w:t>
      </w:r>
      <w:r w:rsidR="005805D5">
        <w:rPr>
          <w:sz w:val="20"/>
        </w:rPr>
        <w:t>3</w:t>
      </w:r>
    </w:p>
    <w:p w14:paraId="75E02F68" w14:textId="77777777" w:rsidR="004D4DB4" w:rsidRPr="00D6048F" w:rsidRDefault="004D4DB4" w:rsidP="00604BFB">
      <w:pPr>
        <w:jc w:val="both"/>
        <w:rPr>
          <w:sz w:val="20"/>
          <w:szCs w:val="20"/>
        </w:rPr>
      </w:pPr>
    </w:p>
    <w:p w14:paraId="7EC534EB" w14:textId="78A06791" w:rsidR="00B8257D" w:rsidRPr="00D6048F" w:rsidRDefault="00B8257D" w:rsidP="00604BFB">
      <w:pPr>
        <w:pStyle w:val="berschrift4"/>
        <w:jc w:val="both"/>
        <w:rPr>
          <w:sz w:val="20"/>
          <w:szCs w:val="20"/>
        </w:rPr>
      </w:pPr>
      <w:r w:rsidRPr="00D6048F">
        <w:rPr>
          <w:sz w:val="20"/>
        </w:rPr>
        <w:t>Images</w:t>
      </w:r>
    </w:p>
    <w:p w14:paraId="3DA4F784" w14:textId="77777777" w:rsidR="009F7BDF" w:rsidRPr="00D6048F" w:rsidRDefault="009F7BDF" w:rsidP="00604BFB">
      <w:pPr>
        <w:jc w:val="both"/>
        <w:rPr>
          <w:sz w:val="16"/>
          <w:szCs w:val="16"/>
        </w:rPr>
      </w:pPr>
    </w:p>
    <w:p w14:paraId="48D23DA6" w14:textId="0C542C29" w:rsidR="009F7BDF" w:rsidRPr="00D6048F" w:rsidRDefault="009F7BDF" w:rsidP="00604BFB">
      <w:pPr>
        <w:jc w:val="both"/>
        <w:rPr>
          <w:sz w:val="16"/>
          <w:szCs w:val="16"/>
        </w:rPr>
      </w:pPr>
      <w:r w:rsidRPr="00D6048F">
        <w:rPr>
          <w:noProof/>
          <w:sz w:val="16"/>
        </w:rPr>
        <w:drawing>
          <wp:anchor distT="0" distB="0" distL="114300" distR="114300" simplePos="0" relativeHeight="251668480" behindDoc="1" locked="0" layoutInCell="1" allowOverlap="1" wp14:anchorId="006A1F29" wp14:editId="142EE0F6">
            <wp:simplePos x="0" y="0"/>
            <wp:positionH relativeFrom="margin">
              <wp:align>left</wp:align>
            </wp:positionH>
            <wp:positionV relativeFrom="paragraph">
              <wp:posOffset>7380</wp:posOffset>
            </wp:positionV>
            <wp:extent cx="2186796" cy="1457864"/>
            <wp:effectExtent l="0" t="0" r="4445" b="9525"/>
            <wp:wrapTight wrapText="bothSides">
              <wp:wrapPolygon edited="0">
                <wp:start x="0" y="0"/>
                <wp:lineTo x="0" y="21459"/>
                <wp:lineTo x="21456" y="21459"/>
                <wp:lineTo x="21456"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6796" cy="1457864"/>
                    </a:xfrm>
                    <a:prstGeom prst="rect">
                      <a:avLst/>
                    </a:prstGeom>
                  </pic:spPr>
                </pic:pic>
              </a:graphicData>
            </a:graphic>
          </wp:anchor>
        </w:drawing>
      </w:r>
    </w:p>
    <w:p w14:paraId="6D79EC18" w14:textId="77777777" w:rsidR="009F7BDF" w:rsidRPr="00D6048F" w:rsidRDefault="009F7BDF" w:rsidP="00604BFB">
      <w:pPr>
        <w:jc w:val="both"/>
        <w:rPr>
          <w:sz w:val="16"/>
          <w:szCs w:val="16"/>
        </w:rPr>
      </w:pPr>
    </w:p>
    <w:p w14:paraId="6EEF3F3F" w14:textId="77777777" w:rsidR="009F7BDF" w:rsidRPr="00D6048F" w:rsidRDefault="009F7BDF" w:rsidP="00604BFB">
      <w:pPr>
        <w:jc w:val="both"/>
        <w:rPr>
          <w:sz w:val="16"/>
          <w:szCs w:val="16"/>
        </w:rPr>
      </w:pPr>
    </w:p>
    <w:p w14:paraId="7FEEEF6A" w14:textId="77777777" w:rsidR="009F7BDF" w:rsidRPr="00D6048F" w:rsidRDefault="009F7BDF" w:rsidP="00604BFB">
      <w:pPr>
        <w:jc w:val="both"/>
        <w:rPr>
          <w:sz w:val="16"/>
          <w:szCs w:val="16"/>
        </w:rPr>
      </w:pPr>
    </w:p>
    <w:p w14:paraId="22550DAD" w14:textId="77777777" w:rsidR="00D308E8" w:rsidRDefault="00D308E8" w:rsidP="00604BFB">
      <w:pPr>
        <w:jc w:val="both"/>
        <w:rPr>
          <w:sz w:val="16"/>
        </w:rPr>
      </w:pPr>
    </w:p>
    <w:p w14:paraId="29D96D71" w14:textId="77777777" w:rsidR="00D308E8" w:rsidRDefault="00D308E8" w:rsidP="00604BFB">
      <w:pPr>
        <w:jc w:val="both"/>
        <w:rPr>
          <w:sz w:val="16"/>
        </w:rPr>
      </w:pPr>
    </w:p>
    <w:p w14:paraId="754368C8" w14:textId="33FA714D" w:rsidR="00B8257D" w:rsidRPr="00D6048F" w:rsidRDefault="009F7BDF" w:rsidP="00604BFB">
      <w:pPr>
        <w:jc w:val="both"/>
        <w:rPr>
          <w:sz w:val="20"/>
          <w:szCs w:val="20"/>
        </w:rPr>
      </w:pPr>
      <w:r w:rsidRPr="00D6048F">
        <w:rPr>
          <w:sz w:val="16"/>
        </w:rPr>
        <w:t>Martin Hackl, Global Director Marketing &amp; Sales, Business Unit Solar Energy, Fronius International GmbH</w:t>
      </w:r>
      <w:r w:rsidRPr="00D6048F">
        <w:rPr>
          <w:sz w:val="20"/>
        </w:rPr>
        <w:t>.</w:t>
      </w:r>
    </w:p>
    <w:p w14:paraId="1322D035" w14:textId="2E94D68A" w:rsidR="009F7BDF" w:rsidRDefault="009F7BDF" w:rsidP="00604BFB">
      <w:pPr>
        <w:jc w:val="both"/>
        <w:rPr>
          <w:sz w:val="20"/>
          <w:szCs w:val="20"/>
        </w:rPr>
      </w:pPr>
    </w:p>
    <w:p w14:paraId="1EF73CE8" w14:textId="77777777" w:rsidR="00D308E8" w:rsidRPr="00D6048F" w:rsidRDefault="00D308E8" w:rsidP="00604BFB">
      <w:pPr>
        <w:jc w:val="both"/>
        <w:rPr>
          <w:sz w:val="20"/>
          <w:szCs w:val="20"/>
        </w:rPr>
      </w:pPr>
    </w:p>
    <w:p w14:paraId="70036FF3" w14:textId="77777777" w:rsidR="00715E72" w:rsidRPr="00D6048F" w:rsidRDefault="00551A0C" w:rsidP="00604BFB">
      <w:pPr>
        <w:jc w:val="both"/>
        <w:rPr>
          <w:sz w:val="18"/>
          <w:szCs w:val="18"/>
        </w:rPr>
      </w:pPr>
      <w:r w:rsidRPr="00D6048F">
        <w:rPr>
          <w:noProof/>
        </w:rPr>
        <w:lastRenderedPageBreak/>
        <w:drawing>
          <wp:anchor distT="0" distB="0" distL="114300" distR="114300" simplePos="0" relativeHeight="251667456" behindDoc="1" locked="0" layoutInCell="1" allowOverlap="1" wp14:anchorId="04BBF750" wp14:editId="61F3EDE1">
            <wp:simplePos x="0" y="0"/>
            <wp:positionH relativeFrom="column">
              <wp:posOffset>-2648</wp:posOffset>
            </wp:positionH>
            <wp:positionV relativeFrom="paragraph">
              <wp:posOffset>-3570</wp:posOffset>
            </wp:positionV>
            <wp:extent cx="2183243" cy="1449238"/>
            <wp:effectExtent l="0" t="0" r="7620" b="0"/>
            <wp:wrapTight wrapText="bothSides">
              <wp:wrapPolygon edited="0">
                <wp:start x="0" y="0"/>
                <wp:lineTo x="0" y="21297"/>
                <wp:lineTo x="21487" y="21297"/>
                <wp:lineTo x="2148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83243" cy="1449238"/>
                    </a:xfrm>
                    <a:prstGeom prst="rect">
                      <a:avLst/>
                    </a:prstGeom>
                  </pic:spPr>
                </pic:pic>
              </a:graphicData>
            </a:graphic>
          </wp:anchor>
        </w:drawing>
      </w:r>
    </w:p>
    <w:p w14:paraId="1C436294" w14:textId="77777777" w:rsidR="00715E72" w:rsidRPr="00D6048F" w:rsidRDefault="00715E72" w:rsidP="00604BFB">
      <w:pPr>
        <w:jc w:val="both"/>
        <w:rPr>
          <w:sz w:val="18"/>
          <w:szCs w:val="18"/>
        </w:rPr>
      </w:pPr>
    </w:p>
    <w:p w14:paraId="320AEF77" w14:textId="77777777" w:rsidR="00715E72" w:rsidRPr="00D6048F" w:rsidRDefault="00715E72" w:rsidP="00604BFB">
      <w:pPr>
        <w:jc w:val="both"/>
        <w:rPr>
          <w:sz w:val="18"/>
          <w:szCs w:val="18"/>
        </w:rPr>
      </w:pPr>
    </w:p>
    <w:p w14:paraId="2E88BD1F" w14:textId="77777777" w:rsidR="00715E72" w:rsidRPr="00D6048F" w:rsidRDefault="00715E72" w:rsidP="00604BFB">
      <w:pPr>
        <w:jc w:val="both"/>
        <w:rPr>
          <w:sz w:val="18"/>
          <w:szCs w:val="18"/>
        </w:rPr>
      </w:pPr>
    </w:p>
    <w:p w14:paraId="12A7131C" w14:textId="77777777" w:rsidR="00D308E8" w:rsidRDefault="00D308E8" w:rsidP="00604BFB">
      <w:pPr>
        <w:jc w:val="both"/>
        <w:rPr>
          <w:sz w:val="16"/>
        </w:rPr>
      </w:pPr>
    </w:p>
    <w:p w14:paraId="2722459C" w14:textId="77777777" w:rsidR="00D308E8" w:rsidRDefault="00D308E8" w:rsidP="00604BFB">
      <w:pPr>
        <w:jc w:val="both"/>
        <w:rPr>
          <w:sz w:val="16"/>
        </w:rPr>
      </w:pPr>
    </w:p>
    <w:p w14:paraId="06E1E77A" w14:textId="0DE862C8" w:rsidR="009D10E8" w:rsidRPr="00D6048F" w:rsidRDefault="00551A0C" w:rsidP="00604BFB">
      <w:pPr>
        <w:jc w:val="both"/>
        <w:rPr>
          <w:sz w:val="16"/>
          <w:szCs w:val="16"/>
        </w:rPr>
      </w:pPr>
      <w:r w:rsidRPr="00D6048F">
        <w:rPr>
          <w:sz w:val="16"/>
        </w:rPr>
        <w:t>Katrin Helmberger, Head of Corporate Sustainability, Fronius International GmbH.</w:t>
      </w:r>
    </w:p>
    <w:p w14:paraId="49D73A9D" w14:textId="12DE42A2" w:rsidR="00AA55B7" w:rsidRPr="00D6048F" w:rsidRDefault="00AA55B7" w:rsidP="00604BFB">
      <w:pPr>
        <w:jc w:val="both"/>
        <w:rPr>
          <w:sz w:val="18"/>
          <w:szCs w:val="18"/>
        </w:rPr>
      </w:pPr>
      <w:r w:rsidRPr="00D6048F">
        <w:rPr>
          <w:noProof/>
        </w:rPr>
        <w:drawing>
          <wp:anchor distT="0" distB="0" distL="114300" distR="114300" simplePos="0" relativeHeight="251666432" behindDoc="1" locked="0" layoutInCell="1" allowOverlap="1" wp14:anchorId="0BF9E42C" wp14:editId="47AB6675">
            <wp:simplePos x="0" y="0"/>
            <wp:positionH relativeFrom="margin">
              <wp:align>left</wp:align>
            </wp:positionH>
            <wp:positionV relativeFrom="paragraph">
              <wp:posOffset>238760</wp:posOffset>
            </wp:positionV>
            <wp:extent cx="2207895" cy="1472565"/>
            <wp:effectExtent l="0" t="0" r="1905" b="0"/>
            <wp:wrapTight wrapText="bothSides">
              <wp:wrapPolygon edited="0">
                <wp:start x="0" y="0"/>
                <wp:lineTo x="0" y="21237"/>
                <wp:lineTo x="21432" y="21237"/>
                <wp:lineTo x="21432"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07895" cy="1472565"/>
                    </a:xfrm>
                    <a:prstGeom prst="rect">
                      <a:avLst/>
                    </a:prstGeom>
                  </pic:spPr>
                </pic:pic>
              </a:graphicData>
            </a:graphic>
            <wp14:sizeRelH relativeFrom="margin">
              <wp14:pctWidth>0</wp14:pctWidth>
            </wp14:sizeRelH>
            <wp14:sizeRelV relativeFrom="margin">
              <wp14:pctHeight>0</wp14:pctHeight>
            </wp14:sizeRelV>
          </wp:anchor>
        </w:drawing>
      </w:r>
    </w:p>
    <w:p w14:paraId="61888671" w14:textId="2BDB3072" w:rsidR="001D371F" w:rsidRPr="00D6048F" w:rsidRDefault="001D371F" w:rsidP="00604BFB">
      <w:pPr>
        <w:jc w:val="both"/>
        <w:rPr>
          <w:sz w:val="18"/>
          <w:szCs w:val="18"/>
        </w:rPr>
      </w:pPr>
    </w:p>
    <w:p w14:paraId="3AB0106A" w14:textId="77777777" w:rsidR="001D371F" w:rsidRPr="00D6048F" w:rsidRDefault="001D371F" w:rsidP="00604BFB">
      <w:pPr>
        <w:jc w:val="both"/>
        <w:rPr>
          <w:sz w:val="18"/>
          <w:szCs w:val="18"/>
        </w:rPr>
      </w:pPr>
    </w:p>
    <w:p w14:paraId="36401DDF" w14:textId="77777777" w:rsidR="001D371F" w:rsidRPr="00D6048F" w:rsidRDefault="001D371F" w:rsidP="00604BFB">
      <w:pPr>
        <w:jc w:val="both"/>
        <w:rPr>
          <w:sz w:val="18"/>
          <w:szCs w:val="18"/>
        </w:rPr>
      </w:pPr>
    </w:p>
    <w:p w14:paraId="66CBD8C8" w14:textId="77777777" w:rsidR="001D371F" w:rsidRPr="00D6048F" w:rsidRDefault="001D371F" w:rsidP="00604BFB">
      <w:pPr>
        <w:jc w:val="both"/>
        <w:rPr>
          <w:sz w:val="18"/>
          <w:szCs w:val="18"/>
        </w:rPr>
      </w:pPr>
    </w:p>
    <w:p w14:paraId="56F5D255" w14:textId="77777777" w:rsidR="00D308E8" w:rsidRDefault="00D308E8" w:rsidP="00604BFB">
      <w:pPr>
        <w:jc w:val="both"/>
        <w:rPr>
          <w:sz w:val="16"/>
        </w:rPr>
      </w:pPr>
    </w:p>
    <w:p w14:paraId="34615AE0" w14:textId="77777777" w:rsidR="00D308E8" w:rsidRDefault="00D308E8" w:rsidP="00604BFB">
      <w:pPr>
        <w:jc w:val="both"/>
        <w:rPr>
          <w:sz w:val="16"/>
        </w:rPr>
      </w:pPr>
    </w:p>
    <w:p w14:paraId="3600DE0C" w14:textId="2F92F8D9" w:rsidR="00604BFB" w:rsidRPr="00D6048F" w:rsidRDefault="00715E72" w:rsidP="00604BFB">
      <w:pPr>
        <w:jc w:val="both"/>
        <w:rPr>
          <w:sz w:val="16"/>
          <w:szCs w:val="16"/>
        </w:rPr>
      </w:pPr>
      <w:r w:rsidRPr="00D6048F">
        <w:rPr>
          <w:sz w:val="16"/>
        </w:rPr>
        <w:t>The new 30 amperes version of the Fronius Tauro is our solution for an ever-increasing number of high-current modules.</w:t>
      </w:r>
    </w:p>
    <w:p w14:paraId="79EA8C06" w14:textId="25A2D3BC" w:rsidR="009D10E8" w:rsidRPr="00D6048F" w:rsidRDefault="009D10E8" w:rsidP="00604BFB">
      <w:pPr>
        <w:jc w:val="both"/>
        <w:rPr>
          <w:sz w:val="16"/>
          <w:szCs w:val="16"/>
        </w:rPr>
      </w:pPr>
      <w:r w:rsidRPr="00D6048F">
        <w:rPr>
          <w:noProof/>
          <w:sz w:val="16"/>
        </w:rPr>
        <w:drawing>
          <wp:anchor distT="0" distB="0" distL="114300" distR="114300" simplePos="0" relativeHeight="251669504" behindDoc="1" locked="0" layoutInCell="1" allowOverlap="1" wp14:anchorId="5A2BFE7D" wp14:editId="72A19468">
            <wp:simplePos x="0" y="0"/>
            <wp:positionH relativeFrom="margin">
              <wp:align>left</wp:align>
            </wp:positionH>
            <wp:positionV relativeFrom="paragraph">
              <wp:posOffset>139616</wp:posOffset>
            </wp:positionV>
            <wp:extent cx="2130039" cy="1595886"/>
            <wp:effectExtent l="0" t="0" r="3810" b="4445"/>
            <wp:wrapTight wrapText="bothSides">
              <wp:wrapPolygon edited="0">
                <wp:start x="0" y="0"/>
                <wp:lineTo x="0" y="21402"/>
                <wp:lineTo x="21445" y="21402"/>
                <wp:lineTo x="21445"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30039" cy="1595886"/>
                    </a:xfrm>
                    <a:prstGeom prst="rect">
                      <a:avLst/>
                    </a:prstGeom>
                  </pic:spPr>
                </pic:pic>
              </a:graphicData>
            </a:graphic>
          </wp:anchor>
        </w:drawing>
      </w:r>
    </w:p>
    <w:p w14:paraId="2061E26F" w14:textId="1B27392C" w:rsidR="009D10E8" w:rsidRPr="00D6048F" w:rsidRDefault="009D10E8" w:rsidP="009D10E8">
      <w:pPr>
        <w:jc w:val="both"/>
        <w:rPr>
          <w:sz w:val="16"/>
          <w:szCs w:val="16"/>
        </w:rPr>
      </w:pPr>
    </w:p>
    <w:p w14:paraId="1FF78832" w14:textId="77777777" w:rsidR="009D10E8" w:rsidRPr="00D6048F" w:rsidRDefault="009D10E8" w:rsidP="009D10E8">
      <w:pPr>
        <w:jc w:val="both"/>
        <w:rPr>
          <w:sz w:val="16"/>
          <w:szCs w:val="16"/>
        </w:rPr>
      </w:pPr>
    </w:p>
    <w:p w14:paraId="44E15374" w14:textId="319DDEE8" w:rsidR="009D10E8" w:rsidRPr="00D6048F" w:rsidRDefault="009D10E8" w:rsidP="009D10E8">
      <w:pPr>
        <w:jc w:val="both"/>
        <w:rPr>
          <w:sz w:val="16"/>
          <w:szCs w:val="16"/>
        </w:rPr>
      </w:pPr>
    </w:p>
    <w:p w14:paraId="4CC81860" w14:textId="179DE8DE" w:rsidR="009D10E8" w:rsidRPr="00D6048F" w:rsidRDefault="009D10E8" w:rsidP="009D10E8">
      <w:pPr>
        <w:jc w:val="both"/>
        <w:rPr>
          <w:sz w:val="16"/>
          <w:szCs w:val="16"/>
        </w:rPr>
      </w:pPr>
    </w:p>
    <w:p w14:paraId="7D1D1F68" w14:textId="77777777" w:rsidR="009D10E8" w:rsidRPr="00D6048F" w:rsidRDefault="009D10E8" w:rsidP="009D10E8">
      <w:pPr>
        <w:jc w:val="both"/>
        <w:rPr>
          <w:sz w:val="16"/>
          <w:szCs w:val="16"/>
        </w:rPr>
      </w:pPr>
    </w:p>
    <w:p w14:paraId="0140407D" w14:textId="77777777" w:rsidR="00D308E8" w:rsidRDefault="00D308E8" w:rsidP="00604BFB">
      <w:pPr>
        <w:jc w:val="both"/>
        <w:rPr>
          <w:sz w:val="16"/>
        </w:rPr>
      </w:pPr>
    </w:p>
    <w:p w14:paraId="154D4997" w14:textId="18F6B1BC" w:rsidR="004D3344" w:rsidRDefault="004D3344" w:rsidP="00604BFB">
      <w:pPr>
        <w:jc w:val="both"/>
        <w:rPr>
          <w:sz w:val="16"/>
        </w:rPr>
      </w:pPr>
      <w:r w:rsidRPr="00D6048F">
        <w:rPr>
          <w:sz w:val="16"/>
        </w:rPr>
        <w:t>The CO</w:t>
      </w:r>
      <w:r w:rsidRPr="00D6048F">
        <w:rPr>
          <w:sz w:val="16"/>
          <w:vertAlign w:val="subscript"/>
        </w:rPr>
        <w:t>2e</w:t>
      </w:r>
      <w:r w:rsidRPr="00D6048F">
        <w:rPr>
          <w:sz w:val="16"/>
        </w:rPr>
        <w:t xml:space="preserve"> payback time has reduced from 1.2–5.5 years to 0.7–3.3 years.</w:t>
      </w:r>
    </w:p>
    <w:p w14:paraId="4B0D4739" w14:textId="77777777" w:rsidR="00D308E8" w:rsidRPr="00D6048F" w:rsidRDefault="00D308E8" w:rsidP="00604BFB">
      <w:pPr>
        <w:jc w:val="both"/>
        <w:rPr>
          <w:sz w:val="16"/>
          <w:szCs w:val="16"/>
        </w:rPr>
      </w:pPr>
    </w:p>
    <w:p w14:paraId="678B5CFF" w14:textId="25003DBD" w:rsidR="00B8257D" w:rsidRPr="00D6048F" w:rsidRDefault="00B25C3B" w:rsidP="00604BFB">
      <w:pPr>
        <w:jc w:val="both"/>
        <w:rPr>
          <w:i/>
          <w:iCs/>
          <w:sz w:val="18"/>
          <w:szCs w:val="18"/>
        </w:rPr>
      </w:pPr>
      <w:r w:rsidRPr="00D6048F">
        <w:rPr>
          <w:i/>
          <w:sz w:val="18"/>
        </w:rPr>
        <w:t>Photo credits: Fronius International GmbH, reproduction free of charge</w:t>
      </w:r>
    </w:p>
    <w:p w14:paraId="0C1181E0" w14:textId="77777777" w:rsidR="008C5190" w:rsidRPr="00D6048F" w:rsidRDefault="008C5190">
      <w:pPr>
        <w:rPr>
          <w:rFonts w:eastAsiaTheme="majorEastAsia" w:cstheme="majorBidi"/>
          <w:iCs/>
          <w:color w:val="000000" w:themeColor="text1"/>
          <w:sz w:val="20"/>
          <w:szCs w:val="20"/>
        </w:rPr>
      </w:pPr>
    </w:p>
    <w:p w14:paraId="700B8388" w14:textId="566B8FFA" w:rsidR="00D308E8" w:rsidRDefault="00D308E8" w:rsidP="00D308E8">
      <w:pPr>
        <w:rPr>
          <w:rFonts w:eastAsiaTheme="majorEastAsia" w:cstheme="majorBidi"/>
          <w:iCs/>
          <w:color w:val="000000" w:themeColor="text1"/>
          <w:sz w:val="20"/>
          <w:szCs w:val="20"/>
        </w:rPr>
      </w:pPr>
    </w:p>
    <w:p w14:paraId="777F47DA" w14:textId="68F474D2" w:rsidR="00D308E8" w:rsidRDefault="00D308E8" w:rsidP="00D308E8">
      <w:pPr>
        <w:rPr>
          <w:rFonts w:eastAsiaTheme="majorEastAsia" w:cstheme="majorBidi"/>
          <w:iCs/>
          <w:color w:val="000000" w:themeColor="text1"/>
          <w:sz w:val="20"/>
          <w:szCs w:val="20"/>
        </w:rPr>
      </w:pPr>
    </w:p>
    <w:p w14:paraId="05329B99" w14:textId="0187E100" w:rsidR="00D308E8" w:rsidRDefault="00D308E8" w:rsidP="00D308E8">
      <w:pPr>
        <w:rPr>
          <w:rFonts w:eastAsiaTheme="majorEastAsia" w:cstheme="majorBidi"/>
          <w:iCs/>
          <w:color w:val="000000" w:themeColor="text1"/>
          <w:sz w:val="20"/>
          <w:szCs w:val="20"/>
        </w:rPr>
      </w:pPr>
    </w:p>
    <w:p w14:paraId="54CF7B1D" w14:textId="36B2F7A1" w:rsidR="00D308E8" w:rsidRDefault="00D308E8" w:rsidP="00D308E8">
      <w:pPr>
        <w:rPr>
          <w:rFonts w:eastAsiaTheme="majorEastAsia" w:cstheme="majorBidi"/>
          <w:iCs/>
          <w:color w:val="000000" w:themeColor="text1"/>
          <w:sz w:val="20"/>
          <w:szCs w:val="20"/>
        </w:rPr>
      </w:pPr>
    </w:p>
    <w:p w14:paraId="0AD2B69B" w14:textId="50B406FD" w:rsidR="00D308E8" w:rsidRDefault="00D308E8" w:rsidP="00D308E8">
      <w:pPr>
        <w:rPr>
          <w:rFonts w:eastAsiaTheme="majorEastAsia" w:cstheme="majorBidi"/>
          <w:iCs/>
          <w:color w:val="000000" w:themeColor="text1"/>
          <w:sz w:val="20"/>
          <w:szCs w:val="20"/>
        </w:rPr>
      </w:pPr>
    </w:p>
    <w:p w14:paraId="257CF7F8" w14:textId="4641B9B0" w:rsidR="00D308E8" w:rsidRDefault="00D308E8" w:rsidP="00D308E8">
      <w:pPr>
        <w:rPr>
          <w:rFonts w:eastAsiaTheme="majorEastAsia" w:cstheme="majorBidi"/>
          <w:iCs/>
          <w:color w:val="000000" w:themeColor="text1"/>
          <w:sz w:val="20"/>
          <w:szCs w:val="20"/>
        </w:rPr>
      </w:pPr>
    </w:p>
    <w:p w14:paraId="627D718C" w14:textId="77777777" w:rsidR="00D308E8" w:rsidRPr="009B64DA" w:rsidRDefault="00D308E8" w:rsidP="00D308E8">
      <w:pPr>
        <w:rPr>
          <w:rFonts w:eastAsiaTheme="majorEastAsia" w:cstheme="majorBidi"/>
          <w:iCs/>
          <w:color w:val="000000" w:themeColor="text1"/>
          <w:sz w:val="20"/>
          <w:szCs w:val="20"/>
        </w:rPr>
      </w:pPr>
    </w:p>
    <w:p w14:paraId="04C1DF49" w14:textId="77777777" w:rsidR="00D308E8" w:rsidRPr="0006225E" w:rsidRDefault="00D308E8" w:rsidP="00D308E8">
      <w:pPr>
        <w:pStyle w:val="berschrift4"/>
        <w:jc w:val="both"/>
        <w:rPr>
          <w:sz w:val="20"/>
          <w:szCs w:val="20"/>
        </w:rPr>
      </w:pPr>
      <w:r w:rsidRPr="0006225E">
        <w:rPr>
          <w:sz w:val="20"/>
        </w:rPr>
        <w:lastRenderedPageBreak/>
        <w:t>Business Unit Solar Energy</w:t>
      </w:r>
    </w:p>
    <w:p w14:paraId="1C9FB622" w14:textId="77777777" w:rsidR="00D308E8" w:rsidRPr="0006225E" w:rsidRDefault="00D308E8" w:rsidP="00D308E8">
      <w:pPr>
        <w:jc w:val="both"/>
        <w:rPr>
          <w:sz w:val="20"/>
          <w:szCs w:val="20"/>
        </w:rPr>
      </w:pPr>
      <w:r w:rsidRPr="0006225E">
        <w:rPr>
          <w:sz w:val="20"/>
        </w:rPr>
        <w:t>Founded in 1992, the Fronius Business Unit (BU) Solar Energy is celebrating its 30th anniversary this year. Under the motto “Energize your life”, we develop innovative solutions with which solar energy can be generated, stored, distributed and consumed cost-efficiently and intelligently. Fronius Solar Energy makes it possible to use the sun 24 hours a day, paving the way for a future 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25 gigawatts of installed inverters to date. Sales are made via a global competence network of installation, service, and sales partners.</w:t>
      </w:r>
    </w:p>
    <w:p w14:paraId="361AFC30" w14:textId="77777777" w:rsidR="00D308E8" w:rsidRPr="0006225E" w:rsidRDefault="00D308E8" w:rsidP="00D308E8">
      <w:pPr>
        <w:spacing w:after="0" w:line="240" w:lineRule="auto"/>
        <w:jc w:val="both"/>
        <w:rPr>
          <w:b/>
          <w:bCs/>
          <w:sz w:val="20"/>
          <w:szCs w:val="20"/>
        </w:rPr>
      </w:pPr>
      <w:bookmarkStart w:id="2" w:name="_Hlk107480427"/>
      <w:r w:rsidRPr="0006225E">
        <w:rPr>
          <w:b/>
          <w:sz w:val="20"/>
        </w:rPr>
        <w:t>We are Fronius.</w:t>
      </w:r>
    </w:p>
    <w:bookmarkEnd w:id="2"/>
    <w:p w14:paraId="44497C01" w14:textId="77777777" w:rsidR="00D308E8" w:rsidRPr="0006225E" w:rsidRDefault="00D308E8" w:rsidP="00D308E8">
      <w:pPr>
        <w:spacing w:after="0" w:line="240" w:lineRule="auto"/>
        <w:jc w:val="both"/>
        <w:rPr>
          <w:sz w:val="20"/>
          <w:szCs w:val="20"/>
        </w:rPr>
      </w:pPr>
      <w:r w:rsidRPr="0006225E">
        <w:rPr>
          <w:sz w:val="20"/>
        </w:rPr>
        <w:t>Over 6100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5226FF8A" w14:textId="77777777" w:rsidR="00D308E8" w:rsidRPr="0006225E" w:rsidRDefault="00D308E8" w:rsidP="00D308E8">
      <w:pPr>
        <w:jc w:val="both"/>
        <w:rPr>
          <w:sz w:val="20"/>
          <w:szCs w:val="20"/>
        </w:rPr>
      </w:pPr>
    </w:p>
    <w:p w14:paraId="3D262E6B" w14:textId="77777777" w:rsidR="00D308E8" w:rsidRPr="005F3616" w:rsidRDefault="00D308E8" w:rsidP="00D308E8">
      <w:pPr>
        <w:pStyle w:val="berschrift4"/>
        <w:rPr>
          <w:sz w:val="20"/>
          <w:szCs w:val="20"/>
        </w:rPr>
      </w:pPr>
      <w:r w:rsidRPr="005F3616">
        <w:rPr>
          <w:sz w:val="20"/>
          <w:szCs w:val="20"/>
        </w:rPr>
        <w:t>Enquiry note</w:t>
      </w:r>
    </w:p>
    <w:p w14:paraId="7CCF9E2D" w14:textId="77777777" w:rsidR="00D308E8" w:rsidRPr="003A05C6" w:rsidRDefault="00D308E8" w:rsidP="00D308E8">
      <w:pPr>
        <w:rPr>
          <w:sz w:val="20"/>
          <w:szCs w:val="20"/>
          <w:lang w:val="de-AT"/>
        </w:rPr>
      </w:pPr>
      <w:r w:rsidRPr="005F3616">
        <w:rPr>
          <w:sz w:val="20"/>
          <w:szCs w:val="20"/>
        </w:rPr>
        <w:t xml:space="preserve">Fronius International GmbH, Mag. </w:t>
      </w:r>
      <w:r w:rsidRPr="003A05C6">
        <w:rPr>
          <w:sz w:val="20"/>
          <w:szCs w:val="20"/>
          <w:lang w:val="de-AT"/>
        </w:rPr>
        <w:t>Andrea SCHARTNER,</w:t>
      </w:r>
      <w:r w:rsidRPr="003A05C6">
        <w:rPr>
          <w:sz w:val="20"/>
          <w:szCs w:val="20"/>
          <w:lang w:val="de-AT"/>
        </w:rPr>
        <w:br/>
        <w:t>+43 664 88536765, schartner.andrea@fronius.com,</w:t>
      </w:r>
      <w:r w:rsidRPr="003A05C6">
        <w:rPr>
          <w:sz w:val="20"/>
          <w:szCs w:val="20"/>
          <w:lang w:val="de-AT"/>
        </w:rPr>
        <w:br/>
        <w:t>Froniusplatz 1, 4600 Wels, Austria</w:t>
      </w:r>
    </w:p>
    <w:p w14:paraId="43F42659" w14:textId="77777777" w:rsidR="00D308E8" w:rsidRPr="00A0447E" w:rsidRDefault="00D308E8" w:rsidP="00D308E8">
      <w:pPr>
        <w:spacing w:before="40" w:after="40" w:line="240" w:lineRule="auto"/>
        <w:rPr>
          <w:sz w:val="20"/>
          <w:lang w:val="de-AT"/>
        </w:rPr>
      </w:pPr>
      <w:r w:rsidRPr="00A0447E">
        <w:rPr>
          <w:sz w:val="20"/>
          <w:lang w:val="de-AT"/>
        </w:rPr>
        <w:t xml:space="preserve">Laura NACHBAUER, +43 664 677411572, </w:t>
      </w:r>
      <w:hyperlink r:id="rId12" w:history="1">
        <w:r w:rsidRPr="00A0447E">
          <w:rPr>
            <w:rStyle w:val="Hyperlink"/>
            <w:sz w:val="20"/>
            <w:szCs w:val="20"/>
            <w:lang w:val="de-AT"/>
          </w:rPr>
          <w:t>nachbauer.laura@fronius.com</w:t>
        </w:r>
      </w:hyperlink>
      <w:r w:rsidRPr="00A0447E">
        <w:rPr>
          <w:sz w:val="20"/>
          <w:lang w:val="de-AT"/>
        </w:rPr>
        <w:t>, Froniusplatz 1, 4600 Wels, Austria.</w:t>
      </w:r>
    </w:p>
    <w:p w14:paraId="087003DF" w14:textId="77777777" w:rsidR="00D308E8" w:rsidRPr="00A0447E" w:rsidRDefault="00D308E8" w:rsidP="00D308E8">
      <w:pPr>
        <w:spacing w:before="40" w:after="40" w:line="240" w:lineRule="auto"/>
        <w:rPr>
          <w:sz w:val="20"/>
          <w:lang w:val="de-AT"/>
        </w:rPr>
      </w:pPr>
    </w:p>
    <w:p w14:paraId="4C5125D4" w14:textId="77777777" w:rsidR="00D308E8" w:rsidRPr="00A0447E" w:rsidRDefault="00D308E8" w:rsidP="00D308E8">
      <w:pPr>
        <w:spacing w:before="40" w:after="40" w:line="240" w:lineRule="auto"/>
        <w:rPr>
          <w:sz w:val="20"/>
          <w:lang w:val="de-AT"/>
        </w:rPr>
      </w:pPr>
      <w:r w:rsidRPr="00A0447E">
        <w:rPr>
          <w:sz w:val="20"/>
          <w:lang w:val="de-AT"/>
        </w:rPr>
        <w:t xml:space="preserve">Elfriede HIRSCH, +43 664 6213775, </w:t>
      </w:r>
      <w:hyperlink r:id="rId13" w:history="1">
        <w:r w:rsidRPr="00A0447E">
          <w:rPr>
            <w:rStyle w:val="Hyperlink"/>
            <w:sz w:val="20"/>
            <w:szCs w:val="18"/>
            <w:lang w:val="de-AT"/>
          </w:rPr>
          <w:t>hirsch.elfriede@fronius.com</w:t>
        </w:r>
      </w:hyperlink>
      <w:r w:rsidRPr="00A0447E">
        <w:rPr>
          <w:sz w:val="20"/>
          <w:lang w:val="de-AT"/>
        </w:rPr>
        <w:t>, Froniusplatz 1, 4600 Wels, Austria.</w:t>
      </w:r>
    </w:p>
    <w:p w14:paraId="6025091C" w14:textId="77777777" w:rsidR="00D308E8" w:rsidRPr="00A0447E" w:rsidRDefault="00D308E8" w:rsidP="00D308E8">
      <w:pPr>
        <w:rPr>
          <w:sz w:val="20"/>
          <w:szCs w:val="20"/>
          <w:lang w:val="de-AT"/>
        </w:rPr>
      </w:pPr>
    </w:p>
    <w:p w14:paraId="07DB61E0" w14:textId="77777777" w:rsidR="00D308E8" w:rsidRPr="00A0447E" w:rsidRDefault="00D308E8" w:rsidP="00D308E8">
      <w:pPr>
        <w:spacing w:before="40" w:after="40"/>
        <w:rPr>
          <w:rStyle w:val="Hyperlink"/>
          <w:sz w:val="20"/>
          <w:szCs w:val="20"/>
          <w:lang w:val="de-AT"/>
        </w:rPr>
      </w:pPr>
      <w:r w:rsidRPr="00A0447E">
        <w:rPr>
          <w:rFonts w:eastAsiaTheme="majorEastAsia" w:cstheme="majorBidi"/>
          <w:iCs/>
          <w:color w:val="000000" w:themeColor="text1"/>
          <w:sz w:val="20"/>
          <w:szCs w:val="20"/>
          <w:u w:val="single"/>
          <w:lang w:val="de-AT"/>
        </w:rPr>
        <w:t>Specimen copy</w:t>
      </w:r>
      <w:r w:rsidRPr="00A0447E">
        <w:rPr>
          <w:rFonts w:eastAsiaTheme="majorEastAsia" w:cstheme="majorBidi"/>
          <w:iCs/>
          <w:color w:val="000000" w:themeColor="text1"/>
          <w:sz w:val="20"/>
          <w:szCs w:val="20"/>
          <w:u w:val="single"/>
          <w:lang w:val="de-AT"/>
        </w:rPr>
        <w:br/>
      </w:r>
      <w:r w:rsidRPr="00A0447E">
        <w:rPr>
          <w:sz w:val="20"/>
          <w:szCs w:val="20"/>
          <w:lang w:val="de-AT"/>
        </w:rPr>
        <w:t>a1kommunikation Schweizer GmbH, Rüdiger KEMPA,</w:t>
      </w:r>
      <w:r w:rsidRPr="00A0447E">
        <w:rPr>
          <w:sz w:val="20"/>
          <w:szCs w:val="20"/>
          <w:lang w:val="de-AT"/>
        </w:rPr>
        <w:br/>
      </w:r>
      <w:hyperlink r:id="rId14" w:history="1">
        <w:r w:rsidRPr="00A0447E">
          <w:rPr>
            <w:rStyle w:val="Hyperlink"/>
            <w:sz w:val="20"/>
            <w:szCs w:val="20"/>
            <w:lang w:val="de-AT"/>
          </w:rPr>
          <w:t>rke@a1kommunikation.de</w:t>
        </w:r>
      </w:hyperlink>
    </w:p>
    <w:p w14:paraId="064674AB" w14:textId="77777777" w:rsidR="00D308E8" w:rsidRDefault="00D308E8" w:rsidP="00D308E8">
      <w:pPr>
        <w:spacing w:before="40" w:after="40"/>
        <w:rPr>
          <w:sz w:val="20"/>
          <w:szCs w:val="20"/>
        </w:rPr>
      </w:pPr>
      <w:r w:rsidRPr="0001297E">
        <w:rPr>
          <w:sz w:val="20"/>
          <w:szCs w:val="20"/>
        </w:rPr>
        <w:t xml:space="preserve">Oberdorfstraße 31A, 70794 Filderstadt, </w:t>
      </w:r>
      <w:r>
        <w:rPr>
          <w:sz w:val="20"/>
          <w:szCs w:val="20"/>
        </w:rPr>
        <w:t>Germany</w:t>
      </w:r>
    </w:p>
    <w:p w14:paraId="57F670A1" w14:textId="77777777" w:rsidR="00D308E8" w:rsidRDefault="00D308E8" w:rsidP="00D308E8">
      <w:pPr>
        <w:spacing w:before="40" w:after="40"/>
        <w:rPr>
          <w:sz w:val="20"/>
          <w:szCs w:val="20"/>
        </w:rPr>
      </w:pPr>
    </w:p>
    <w:p w14:paraId="244BA648" w14:textId="77777777" w:rsidR="00D308E8" w:rsidRPr="00604BFB" w:rsidRDefault="00D308E8" w:rsidP="00D308E8">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5" w:history="1">
        <w:r>
          <w:rPr>
            <w:rStyle w:val="Hyperlink"/>
            <w:sz w:val="16"/>
          </w:rPr>
          <w:t>cancellation@fronius.com</w:t>
        </w:r>
      </w:hyperlink>
      <w:r>
        <w:rPr>
          <w:sz w:val="16"/>
        </w:rPr>
        <w:t>.</w:t>
      </w:r>
    </w:p>
    <w:p w14:paraId="0536F12D" w14:textId="77777777" w:rsidR="00D308E8" w:rsidRPr="00A0447E" w:rsidRDefault="00D308E8" w:rsidP="00D308E8">
      <w:pPr>
        <w:jc w:val="both"/>
        <w:rPr>
          <w:sz w:val="20"/>
          <w:szCs w:val="20"/>
        </w:rPr>
      </w:pPr>
    </w:p>
    <w:p w14:paraId="27CEF6BC" w14:textId="77777777" w:rsidR="00D308E8" w:rsidRPr="0006225E" w:rsidRDefault="00D308E8" w:rsidP="00D308E8">
      <w:pPr>
        <w:pStyle w:val="berschrift4"/>
        <w:jc w:val="both"/>
        <w:rPr>
          <w:sz w:val="16"/>
          <w:szCs w:val="16"/>
        </w:rPr>
      </w:pPr>
    </w:p>
    <w:p w14:paraId="49DC444B" w14:textId="77777777" w:rsidR="00D308E8" w:rsidRPr="00604BFB" w:rsidRDefault="00D308E8" w:rsidP="00D308E8">
      <w:pPr>
        <w:pStyle w:val="berschrift4"/>
        <w:jc w:val="both"/>
        <w:rPr>
          <w:sz w:val="16"/>
          <w:szCs w:val="16"/>
        </w:rPr>
      </w:pPr>
    </w:p>
    <w:p w14:paraId="790215F6" w14:textId="17248B95" w:rsidR="00670F02" w:rsidRPr="00604BFB" w:rsidRDefault="00670F02" w:rsidP="00D308E8">
      <w:pPr>
        <w:pStyle w:val="berschrift4"/>
        <w:jc w:val="both"/>
        <w:rPr>
          <w:sz w:val="16"/>
          <w:szCs w:val="16"/>
        </w:rPr>
      </w:pPr>
    </w:p>
    <w:sectPr w:rsidR="00670F02" w:rsidRPr="00604BFB">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52309"/>
    <w:rsid w:val="00097CDA"/>
    <w:rsid w:val="000C153C"/>
    <w:rsid w:val="000C4025"/>
    <w:rsid w:val="00102F0B"/>
    <w:rsid w:val="00105654"/>
    <w:rsid w:val="00141482"/>
    <w:rsid w:val="001426C7"/>
    <w:rsid w:val="0015484D"/>
    <w:rsid w:val="001668E3"/>
    <w:rsid w:val="00196F99"/>
    <w:rsid w:val="001A34C4"/>
    <w:rsid w:val="001B4713"/>
    <w:rsid w:val="001C35F0"/>
    <w:rsid w:val="001D371F"/>
    <w:rsid w:val="00202BA1"/>
    <w:rsid w:val="00215DF9"/>
    <w:rsid w:val="0024308B"/>
    <w:rsid w:val="00243F1D"/>
    <w:rsid w:val="0026515D"/>
    <w:rsid w:val="00271D71"/>
    <w:rsid w:val="00282219"/>
    <w:rsid w:val="002A045C"/>
    <w:rsid w:val="002B1BB2"/>
    <w:rsid w:val="002C13C3"/>
    <w:rsid w:val="002C6795"/>
    <w:rsid w:val="002D7A44"/>
    <w:rsid w:val="002E4785"/>
    <w:rsid w:val="002F207D"/>
    <w:rsid w:val="00333E1E"/>
    <w:rsid w:val="003405C8"/>
    <w:rsid w:val="0036590E"/>
    <w:rsid w:val="00387130"/>
    <w:rsid w:val="00393D8C"/>
    <w:rsid w:val="003A323F"/>
    <w:rsid w:val="003B30C9"/>
    <w:rsid w:val="003E6855"/>
    <w:rsid w:val="00402AA3"/>
    <w:rsid w:val="00403C78"/>
    <w:rsid w:val="00424297"/>
    <w:rsid w:val="0044171E"/>
    <w:rsid w:val="004420B7"/>
    <w:rsid w:val="00446048"/>
    <w:rsid w:val="00451F65"/>
    <w:rsid w:val="00455012"/>
    <w:rsid w:val="00470A9D"/>
    <w:rsid w:val="004A1FC4"/>
    <w:rsid w:val="004B317B"/>
    <w:rsid w:val="004D3344"/>
    <w:rsid w:val="004D4DB4"/>
    <w:rsid w:val="0051114E"/>
    <w:rsid w:val="00512C4C"/>
    <w:rsid w:val="005351C3"/>
    <w:rsid w:val="0053538B"/>
    <w:rsid w:val="00551A0C"/>
    <w:rsid w:val="00554093"/>
    <w:rsid w:val="005805D5"/>
    <w:rsid w:val="00582BF5"/>
    <w:rsid w:val="005923B9"/>
    <w:rsid w:val="005A26BF"/>
    <w:rsid w:val="005B6909"/>
    <w:rsid w:val="005C7E03"/>
    <w:rsid w:val="005D13F0"/>
    <w:rsid w:val="005E36D5"/>
    <w:rsid w:val="00604BFB"/>
    <w:rsid w:val="00650CE5"/>
    <w:rsid w:val="00651247"/>
    <w:rsid w:val="00670F02"/>
    <w:rsid w:val="0068572B"/>
    <w:rsid w:val="006B7BDF"/>
    <w:rsid w:val="006D2AEF"/>
    <w:rsid w:val="006D6430"/>
    <w:rsid w:val="00703F47"/>
    <w:rsid w:val="00711B3F"/>
    <w:rsid w:val="00715E72"/>
    <w:rsid w:val="00723F58"/>
    <w:rsid w:val="00730C60"/>
    <w:rsid w:val="0074545E"/>
    <w:rsid w:val="00774D77"/>
    <w:rsid w:val="007A57E3"/>
    <w:rsid w:val="007C0A19"/>
    <w:rsid w:val="007C61B7"/>
    <w:rsid w:val="00816914"/>
    <w:rsid w:val="00831633"/>
    <w:rsid w:val="008404EE"/>
    <w:rsid w:val="008936B2"/>
    <w:rsid w:val="00897AA5"/>
    <w:rsid w:val="008B53CF"/>
    <w:rsid w:val="008C5190"/>
    <w:rsid w:val="008D7983"/>
    <w:rsid w:val="008E1774"/>
    <w:rsid w:val="008F4ED5"/>
    <w:rsid w:val="00906679"/>
    <w:rsid w:val="00962B6D"/>
    <w:rsid w:val="00963BB4"/>
    <w:rsid w:val="00971EAE"/>
    <w:rsid w:val="009753A9"/>
    <w:rsid w:val="009A3D25"/>
    <w:rsid w:val="009C1A10"/>
    <w:rsid w:val="009D10E8"/>
    <w:rsid w:val="009D1B67"/>
    <w:rsid w:val="009D65BD"/>
    <w:rsid w:val="009F6929"/>
    <w:rsid w:val="009F7BDF"/>
    <w:rsid w:val="00A43962"/>
    <w:rsid w:val="00A52F69"/>
    <w:rsid w:val="00A66F74"/>
    <w:rsid w:val="00A94F59"/>
    <w:rsid w:val="00AA55B7"/>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C17BEE"/>
    <w:rsid w:val="00C34C3C"/>
    <w:rsid w:val="00C44B9C"/>
    <w:rsid w:val="00C85609"/>
    <w:rsid w:val="00C921A2"/>
    <w:rsid w:val="00CA56AD"/>
    <w:rsid w:val="00CB1448"/>
    <w:rsid w:val="00CC0612"/>
    <w:rsid w:val="00CF63C4"/>
    <w:rsid w:val="00D018C9"/>
    <w:rsid w:val="00D0522E"/>
    <w:rsid w:val="00D308E8"/>
    <w:rsid w:val="00D3698E"/>
    <w:rsid w:val="00D6048F"/>
    <w:rsid w:val="00D61309"/>
    <w:rsid w:val="00D7549F"/>
    <w:rsid w:val="00D77E57"/>
    <w:rsid w:val="00D81F9F"/>
    <w:rsid w:val="00DA2ED8"/>
    <w:rsid w:val="00DA790D"/>
    <w:rsid w:val="00DB4CF3"/>
    <w:rsid w:val="00DE201A"/>
    <w:rsid w:val="00DF5290"/>
    <w:rsid w:val="00E83DD7"/>
    <w:rsid w:val="00E9591C"/>
    <w:rsid w:val="00EA26EC"/>
    <w:rsid w:val="00EB1D30"/>
    <w:rsid w:val="00EC5B3C"/>
    <w:rsid w:val="00EC6E68"/>
    <w:rsid w:val="00ED1A55"/>
    <w:rsid w:val="00ED5549"/>
    <w:rsid w:val="00EE35FD"/>
    <w:rsid w:val="00EF6255"/>
    <w:rsid w:val="00F213F0"/>
    <w:rsid w:val="00F4277F"/>
    <w:rsid w:val="00F46CE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9D1B6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hirsch.elfriede@fronius.com"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mailto:nachbauer.laura@fronius.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mailto:cancellation@fronius.com" TargetMode="External"/><Relationship Id="rId23" Type="http://schemas.openxmlformats.org/officeDocument/2006/relationships/customXml" Target="../customXml/item5.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rke@a1kommunikation.de"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Hohe Ziele und nachhaltiges Wachstum 2023/02</title_TI_DE>
    <title_TI_NO xmlns="dc0c2c3d-e9fc-4a0d-820b-87ab82e65f20">High targets and sustainable growth 2023/02</title_TI_NO>
    <Documenttype_PT xmlns="dc0c2c3d-e9fc-4a0d-820b-87ab82e65f20">Comunicado à imprensa</Documenttype_PT>
    <Documenttype_RU xmlns="dc0c2c3d-e9fc-4a0d-820b-87ab82e65f20">Пресс-релиз</Documenttype_RU>
    <title_TI_TR xmlns="dc0c2c3d-e9fc-4a0d-820b-87ab82e65f20">High targets and sustainable growth 2023/02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High targets and sustainable growth 2023/02</title_TI_TH>
    <Licence_x0020_information xmlns="dc0c2c3d-e9fc-4a0d-820b-87ab82e65f20">(c) Fronius International</Licence_x0020_information>
    <title_TI_EA xmlns="dc0c2c3d-e9fc-4a0d-820b-87ab82e65f20">High targets and sustainable growth 2023/02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High targets and sustainable growth 2023/02</title_TI_DA>
    <Documenttype_TR xmlns="dc0c2c3d-e9fc-4a0d-820b-87ab82e65f20">Basın bülteni</Documenttype_TR>
    <title_TI_PL xmlns="dc0c2c3d-e9fc-4a0d-820b-87ab82e65f20">High targets and sustainable growth 2023/02</title_TI_PL>
    <Documenttype_TH xmlns="dc0c2c3d-e9fc-4a0d-820b-87ab82e65f20">ข่าวประชาสัมพันธ์</Documenttype_TH>
    <title_TI_EL xmlns="dc0c2c3d-e9fc-4a0d-820b-87ab82e65f20">High targets and sustainable growth 2023/02</title_TI_EL>
    <Documenttype_EA xmlns="dc0c2c3d-e9fc-4a0d-820b-87ab82e65f20">Press Release</Documenttype_EA>
    <Web_x0020_Display_x0020_Title_x0020_ET xmlns="dc0c2c3d-e9fc-4a0d-820b-87ab82e65f20">High targets and sustainable growth 2023/02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High targets and sustainable growth 2023/02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High targets and sustainable growth 2023/02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C-138981</FileMaster>
    <title_TI_NL xmlns="dc0c2c3d-e9fc-4a0d-820b-87ab82e65f20">High targets and sustainable growth 2023/02</title_TI_NL>
    <contentservId xmlns="c4543867-fb67-4424-a255-4d54d75e50e3">C-138983</contentservId>
    <title_TI_IT xmlns="dc0c2c3d-e9fc-4a0d-820b-87ab82e65f20">High targets and sustainable growth 2023/02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High targets and sustainable growth 2023/02</title_TI_UA>
    <title_TI_JP xmlns="dc0c2c3d-e9fc-4a0d-820b-87ab82e65f20">High targets and sustainable growth 2023/02</title_TI_JP>
    <Documenttype_NL xmlns="dc0c2c3d-e9fc-4a0d-820b-87ab82e65f20">Persbericht</Documenttype_NL>
    <title_TI_RO xmlns="dc0c2c3d-e9fc-4a0d-820b-87ab82e65f20">High targets and sustainable growth 2023/02</title_TI_RO>
    <Documenttype_NB xmlns="c4543867-fb67-4424-a255-4d54d75e50e3">Presseinformasjon</Documenttype_NB>
    <title_ti_nb xmlns="dc0c2c3d-e9fc-4a0d-820b-87ab82e65f20" xsi:nil="true"/>
    <title_TI_ES xmlns="dc0c2c3d-e9fc-4a0d-820b-87ab82e65f20">High targets and sustainable growth 2023/02</title_TI_ES>
    <title_TI_JA xmlns="dc0c2c3d-e9fc-4a0d-820b-87ab82e65f20">High targets and sustainable growth 2023/02</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High targets and sustainable growth 2023/02</title_TI_EN>
    <MRMKeyWords xmlns="dc0c2c3d-e9fc-4a0d-820b-87ab82e65f20">#Presse#Sattledt#Solar Energy#Presseaussendung#Fronius#Unternehmen#GEN24#Tauro#Corporate#press#press release#Company#Taurus#presse#sattledt#solarenergy#presseaussendung#pressrelease#fronius#unternehmen#company#gen24#tauro#corporate#</MRMKeyWords>
    <title_ti_zh xmlns="dc0c2c3d-e9fc-4a0d-820b-87ab82e65f20">High targets and sustainable growth 2023/02</title_ti_zh>
    <MRMID xmlns="dc0c2c3d-e9fc-4a0d-820b-87ab82e65f20">M-199241</MRMID>
    <Documenttype_UK xmlns="c4543867-fb67-4424-a255-4d54d75e50e3">Прес-релізи</Documenttype_UK>
    <title_TI_SK xmlns="dc0c2c3d-e9fc-4a0d-820b-87ab82e65f20">High targets and sustainable growth 2023/02</title_TI_SK>
    <Documenttype_UA xmlns="dc0c2c3d-e9fc-4a0d-820b-87ab82e65f20">Прес-релізи</Documenttype_UA>
    <title_TI_HU xmlns="dc0c2c3d-e9fc-4a0d-820b-87ab82e65f20">High targets and sustainable growth 2023/02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High targets and sustainable growth 2023/02</title_TI_PT>
    <title_ti_fi xmlns="dc0c2c3d-e9fc-4a0d-820b-87ab82e65f20">High targets and sustainable growth 2023/02</title_ti_fi>
    <Country xmlns="dc0c2c3d-e9fc-4a0d-820b-87ab82e65f20">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23</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166</Value>
      <Value>167</Value>
      <Value>168</Value>
      <Value>169</Value>
      <Value>170</Value>
      <Value>171</Value>
      <Value>172</Value>
      <Value>173</Value>
      <Value>28</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44</Value>
      <Value>250</Value>
      <Value>251</Value>
      <Value>252</Value>
      <Value>253</Value>
      <Value>254</Value>
      <Value>255</Value>
      <Value>256</Value>
      <Value>257</Value>
      <Value>258</Value>
      <Value>259</Value>
      <Value>260</Value>
    </Country>
    <fro_spid xmlns="dc0c2c3d-e9fc-4a0d-820b-87ab82e65f20">9197;SE</fro_spid>
    <title_TI_RU xmlns="dc0c2c3d-e9fc-4a0d-820b-87ab82e65f20">High targets and sustainable growth 2023/02</title_TI_RU>
    <Documenttype_JA xmlns="dc0c2c3d-e9fc-4a0d-820b-87ab82e65f20">ニュースリリース</Documenttype_JA>
    <Colour_x0020_space xmlns="dc0c2c3d-e9fc-4a0d-820b-87ab82e65f20" xsi:nil="true"/>
    <title_TI_CS xmlns="dc0c2c3d-e9fc-4a0d-820b-87ab82e65f20">High targets and sustainable growth 2023/02</title_TI_CS>
    <title_TI_AR xmlns="dc0c2c3d-e9fc-4a0d-820b-87ab82e65f20">High targets and sustainable growth 2023/02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797F2D11-E71D-4716-9B5B-8B47F20DC9F8}">
  <ds:schemaRefs>
    <ds:schemaRef ds:uri="http://schemas.openxmlformats.org/officeDocument/2006/bibliography"/>
  </ds:schemaRefs>
</ds:datastoreItem>
</file>

<file path=customXml/itemProps2.xml><?xml version="1.0" encoding="utf-8"?>
<ds:datastoreItem xmlns:ds="http://schemas.openxmlformats.org/officeDocument/2006/customXml" ds:itemID="{F20B816B-F771-4A38-A799-05B3B59B699F}"/>
</file>

<file path=customXml/itemProps3.xml><?xml version="1.0" encoding="utf-8"?>
<ds:datastoreItem xmlns:ds="http://schemas.openxmlformats.org/officeDocument/2006/customXml" ds:itemID="{5F3060BC-AF3F-4F4A-B53C-F524364CB431}"/>
</file>

<file path=customXml/itemProps4.xml><?xml version="1.0" encoding="utf-8"?>
<ds:datastoreItem xmlns:ds="http://schemas.openxmlformats.org/officeDocument/2006/customXml" ds:itemID="{D3918CE7-6507-4824-8D54-D42846B1570D}"/>
</file>

<file path=customXml/itemProps5.xml><?xml version="1.0" encoding="utf-8"?>
<ds:datastoreItem xmlns:ds="http://schemas.openxmlformats.org/officeDocument/2006/customXml" ds:itemID="{5299E0AC-9F56-4E47-AED0-5D38E739C507}"/>
</file>

<file path=customXml/itemProps6.xml><?xml version="1.0" encoding="utf-8"?>
<ds:datastoreItem xmlns:ds="http://schemas.openxmlformats.org/officeDocument/2006/customXml" ds:itemID="{71A890B7-C73D-471F-9F94-DC9C6C7D0A26}"/>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895</Words>
  <Characters>5640</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SE_PR_High_targets_and_sustainable_growth_EN_US</dc:title>
  <dc:subject/>
  <dc:creator>Kneringer Daniel</dc:creator>
  <cp:keywords/>
  <dc:description/>
  <cp:lastModifiedBy>Majetic Kristina</cp:lastModifiedBy>
  <cp:revision>12</cp:revision>
  <cp:lastPrinted>2023-01-17T12:28:00Z</cp:lastPrinted>
  <dcterms:created xsi:type="dcterms:W3CDTF">2023-01-23T08:19:00Z</dcterms:created>
  <dcterms:modified xsi:type="dcterms:W3CDTF">2023-02-08T10:18:00Z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