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722F4" w14:textId="05A6BBB5" w:rsidR="00ED5549" w:rsidRPr="00921E3F" w:rsidRDefault="00ED5549" w:rsidP="00604BFB">
      <w:pPr>
        <w:jc w:val="both"/>
        <w:rPr>
          <w:sz w:val="20"/>
          <w:szCs w:val="20"/>
          <w:lang w:val="en-US"/>
        </w:rPr>
      </w:pPr>
    </w:p>
    <w:p w14:paraId="687BC23B" w14:textId="77777777" w:rsidR="00ED5549" w:rsidRPr="00921E3F" w:rsidRDefault="00ED5549" w:rsidP="00604BFB">
      <w:pPr>
        <w:jc w:val="both"/>
        <w:rPr>
          <w:sz w:val="20"/>
          <w:szCs w:val="20"/>
          <w:lang w:val="en-US"/>
        </w:rPr>
      </w:pPr>
    </w:p>
    <w:p w14:paraId="64EAFB9B" w14:textId="273A2B2D" w:rsidR="002D7A44" w:rsidRPr="00921E3F" w:rsidRDefault="00ED5549" w:rsidP="00604BFB">
      <w:pPr>
        <w:pStyle w:val="berschrift1"/>
        <w:jc w:val="both"/>
      </w:pPr>
      <w:r w:rsidRPr="00921E3F">
        <w:t>Comunicado à imprensa</w:t>
      </w:r>
    </w:p>
    <w:p w14:paraId="07CB8F03" w14:textId="06F6FC04" w:rsidR="00ED5549" w:rsidRPr="00921E3F" w:rsidRDefault="0051114E" w:rsidP="00604BFB">
      <w:pPr>
        <w:jc w:val="both"/>
      </w:pPr>
      <w:r w:rsidRPr="00921E3F">
        <w:rPr>
          <w:sz w:val="20"/>
        </w:rPr>
        <w:t>Solar Energy</w:t>
      </w:r>
    </w:p>
    <w:p w14:paraId="3EF5C6DD" w14:textId="6608F6CF" w:rsidR="00ED5549" w:rsidRPr="00921E3F" w:rsidRDefault="00ED5549" w:rsidP="00604BFB">
      <w:pPr>
        <w:jc w:val="both"/>
        <w:rPr>
          <w:sz w:val="20"/>
          <w:szCs w:val="20"/>
        </w:rPr>
      </w:pPr>
    </w:p>
    <w:p w14:paraId="00F13E77" w14:textId="77777777" w:rsidR="00E83DD7" w:rsidRPr="00921E3F" w:rsidRDefault="00E83DD7" w:rsidP="00604BFB">
      <w:pPr>
        <w:jc w:val="both"/>
        <w:rPr>
          <w:sz w:val="20"/>
          <w:szCs w:val="20"/>
        </w:rPr>
      </w:pPr>
    </w:p>
    <w:p w14:paraId="4F8F137E" w14:textId="7A552F0F" w:rsidR="006D6430" w:rsidRPr="00921E3F" w:rsidRDefault="005D4BAD" w:rsidP="00604BFB">
      <w:pPr>
        <w:pStyle w:val="HeadlineGreen"/>
        <w:jc w:val="both"/>
        <w:rPr>
          <w:color w:val="auto"/>
          <w:sz w:val="22"/>
          <w:szCs w:val="20"/>
        </w:rPr>
      </w:pPr>
      <w:r w:rsidRPr="00921E3F">
        <w:rPr>
          <w:color w:val="auto"/>
          <w:sz w:val="22"/>
        </w:rPr>
        <w:t>Inspeção de armazenamento de eletricidade 2023</w:t>
      </w:r>
    </w:p>
    <w:p w14:paraId="726FD8A5" w14:textId="11AD25F9" w:rsidR="002D7A44" w:rsidRPr="00921E3F" w:rsidRDefault="00D41F94" w:rsidP="00604BFB">
      <w:pPr>
        <w:pStyle w:val="berschrift2"/>
        <w:jc w:val="both"/>
        <w:rPr>
          <w:color w:val="auto"/>
          <w:sz w:val="32"/>
          <w:szCs w:val="28"/>
        </w:rPr>
      </w:pPr>
      <w:r w:rsidRPr="00921E3F">
        <w:rPr>
          <w:color w:val="auto"/>
          <w:sz w:val="32"/>
        </w:rPr>
        <w:t>Mais uma vez a Fronius no topo da lista</w:t>
      </w:r>
    </w:p>
    <w:p w14:paraId="2CC4F935" w14:textId="77777777" w:rsidR="00ED5549" w:rsidRPr="00921E3F" w:rsidRDefault="00ED5549" w:rsidP="00604BFB">
      <w:pPr>
        <w:jc w:val="both"/>
        <w:rPr>
          <w:sz w:val="20"/>
          <w:szCs w:val="20"/>
        </w:rPr>
      </w:pPr>
    </w:p>
    <w:p w14:paraId="47D72435" w14:textId="10E4B9D7" w:rsidR="001668E3" w:rsidRPr="00921E3F" w:rsidRDefault="00ED5549" w:rsidP="00DB4CF3">
      <w:pPr>
        <w:jc w:val="both"/>
        <w:rPr>
          <w:sz w:val="24"/>
          <w:szCs w:val="24"/>
        </w:rPr>
      </w:pPr>
      <w:r w:rsidRPr="00921E3F">
        <w:rPr>
          <w:sz w:val="24"/>
        </w:rPr>
        <w:t xml:space="preserve">(Wels, </w:t>
      </w:r>
      <w:r w:rsidR="005450B5">
        <w:rPr>
          <w:sz w:val="24"/>
        </w:rPr>
        <w:t>07.03</w:t>
      </w:r>
      <w:r w:rsidRPr="00921E3F">
        <w:rPr>
          <w:sz w:val="24"/>
        </w:rPr>
        <w:t>.2023) A Fronius mais uma vez alcançou a primeira posição na inspeção anual de armazenamento de eletricidade realizada pela Universidade de Ciências Aplicadas de Berlim (HTW) devido à alta eficiência do sistema. O Fronius Primo GEN24 6.0 Plus foi premiado na classe de 5 kW e o Fronius Symo GEN24 10.0 Plus na classe de 10 kW. A Fronius também foi um dos dois fabricantes que mais uma vez atingiu a classe A de eficiência energética com ambos os produtos.</w:t>
      </w:r>
    </w:p>
    <w:p w14:paraId="2394DF3F" w14:textId="77777777" w:rsidR="003E6855" w:rsidRPr="00921E3F" w:rsidRDefault="003E6855" w:rsidP="00604BFB">
      <w:pPr>
        <w:jc w:val="both"/>
        <w:rPr>
          <w:sz w:val="20"/>
          <w:szCs w:val="20"/>
        </w:rPr>
      </w:pPr>
    </w:p>
    <w:p w14:paraId="7CA4E74B" w14:textId="76602899" w:rsidR="00653250" w:rsidRPr="00921E3F" w:rsidRDefault="00D87B52" w:rsidP="00D87B52">
      <w:pPr>
        <w:jc w:val="both"/>
        <w:rPr>
          <w:sz w:val="20"/>
          <w:szCs w:val="20"/>
        </w:rPr>
      </w:pPr>
      <w:r w:rsidRPr="00921E3F">
        <w:rPr>
          <w:sz w:val="20"/>
        </w:rPr>
        <w:t xml:space="preserve">A inspeção de armazenamento de eletricidade da HTW Berlim é um estudo anual de comparação dos sistemas de armazenamento fotovoltaico para residências feito por institutos independentes em toda a indústria. Este ano, 18 sistemas de armazenamento de eletricidade de 11 fabricantes avaliados pelo Índice de Desempenho do Sistema (SPI) competiram entre si. Para instaladores e clientes finais, esta avaliação independente fornece uma boa referência na busca de soluções de armazenamento eficientes em termos de energia. E os resultados são impressionantes: a alta eficiência do sistema significa menos perda de energia, o que, por sua vez, leva a maior produtividade e, portanto, um retorno mais rápido. </w:t>
      </w:r>
    </w:p>
    <w:p w14:paraId="74676A41" w14:textId="745DF602" w:rsidR="00653250" w:rsidRPr="00921E3F" w:rsidRDefault="00653250" w:rsidP="00653250">
      <w:pPr>
        <w:jc w:val="both"/>
        <w:rPr>
          <w:sz w:val="20"/>
          <w:szCs w:val="20"/>
        </w:rPr>
      </w:pPr>
      <w:r w:rsidRPr="00921E3F">
        <w:rPr>
          <w:sz w:val="20"/>
        </w:rPr>
        <w:t>„</w:t>
      </w:r>
      <w:r w:rsidRPr="00921E3F">
        <w:rPr>
          <w:i/>
          <w:iCs/>
          <w:sz w:val="20"/>
        </w:rPr>
        <w:t>Trazemos luz solar para a vida de nossos clientes. Conseguimos provar isto mais uma vez durante a inspeção de armazenamento de eletricidade. Os inversores híbridos Fronius GEN24 Plus implementam com perfeição nossa concepção de 24 horas de sol. Eles fornecem energia solar dia e noite com maior eficiência, fazendo o melhor uso dos recursos disponíveis. Isso é essencial para garantir a verdadeira sustentabilidade. Este é o resultado de nosso trabalho consistente de avaliação do ciclo de vida“</w:t>
      </w:r>
      <w:r w:rsidRPr="00921E3F">
        <w:rPr>
          <w:sz w:val="20"/>
        </w:rPr>
        <w:t>, declarou Martin Hackl, Diretor Global da Unidade de Negócios Solar Energy, Fronius International GmbH.</w:t>
      </w:r>
    </w:p>
    <w:p w14:paraId="3E643806" w14:textId="4254883F" w:rsidR="00653250" w:rsidRPr="00921E3F" w:rsidRDefault="00924D89" w:rsidP="00653250">
      <w:pPr>
        <w:pStyle w:val="berschrift4"/>
      </w:pPr>
      <w:r w:rsidRPr="00921E3F">
        <w:t>Resultados ainda melhores</w:t>
      </w:r>
    </w:p>
    <w:p w14:paraId="25C61FAA" w14:textId="136E887B" w:rsidR="00653250" w:rsidRPr="00921E3F" w:rsidRDefault="000F3AB0" w:rsidP="00653250">
      <w:pPr>
        <w:jc w:val="both"/>
        <w:rPr>
          <w:sz w:val="20"/>
          <w:szCs w:val="20"/>
        </w:rPr>
      </w:pPr>
      <w:r w:rsidRPr="00921E3F">
        <w:rPr>
          <w:sz w:val="20"/>
        </w:rPr>
        <w:t>Na classe de 5 kW, o Primo GEN24 6.0 Plus com o BYD Battery-Box Premium HVS 7.7 alcançou um SPI de 92,6%. Na classe de 10 kW, o Symo GEN24 10.0 Plus com o BYD Battery-Box Premium HVS 10.2 alcançou um SPI de 95,4%. „</w:t>
      </w:r>
      <w:r w:rsidRPr="00921E3F">
        <w:rPr>
          <w:i/>
          <w:iCs/>
          <w:sz w:val="20"/>
        </w:rPr>
        <w:t>Em ambos os casos melhoramos em relação ao ano anterior</w:t>
      </w:r>
      <w:r w:rsidRPr="00921E3F">
        <w:rPr>
          <w:sz w:val="20"/>
        </w:rPr>
        <w:t xml:space="preserve">“, explica orgulhosamente Susanne Lampl, Gerente de Produto da Fronius International. </w:t>
      </w:r>
    </w:p>
    <w:p w14:paraId="01354A13" w14:textId="77777777" w:rsidR="00653250" w:rsidRPr="00921E3F" w:rsidRDefault="00653250" w:rsidP="00D87B52">
      <w:pPr>
        <w:jc w:val="both"/>
        <w:rPr>
          <w:sz w:val="20"/>
          <w:szCs w:val="20"/>
        </w:rPr>
      </w:pPr>
    </w:p>
    <w:p w14:paraId="317A39D8" w14:textId="1453ACEF" w:rsidR="00D87B52" w:rsidRPr="00921E3F" w:rsidRDefault="00D87B52" w:rsidP="00D87B52">
      <w:pPr>
        <w:pStyle w:val="berschrift4"/>
      </w:pPr>
      <w:r w:rsidRPr="00921E3F">
        <w:lastRenderedPageBreak/>
        <w:t>Multi Flow Technology como um fator de sucesso</w:t>
      </w:r>
    </w:p>
    <w:p w14:paraId="7B58D110" w14:textId="4EE22A62" w:rsidR="00921E3F" w:rsidRPr="005450B5" w:rsidRDefault="00D87B52" w:rsidP="00921E3F">
      <w:pPr>
        <w:jc w:val="both"/>
        <w:rPr>
          <w:sz w:val="20"/>
          <w:szCs w:val="20"/>
        </w:rPr>
      </w:pPr>
      <w:r w:rsidRPr="00921E3F">
        <w:rPr>
          <w:sz w:val="20"/>
        </w:rPr>
        <w:t xml:space="preserve">A Multi Flow Technology, crucial para o sucesso e que permite uma gestão inteligente dos fluxos de energia, não só permite fluxos de corrente simultâneos em todas as direções, como também o acoplamento CA e CC do armazenamento da bateria. A base para isto é a eletrônica de potência. Usando semicondutores de potência baseados em carboneto de silício, podem ser alcançadas eficiências de conversão muito altas, mesmo com cargas baixas de algumas centenas de watts. </w:t>
      </w:r>
    </w:p>
    <w:p w14:paraId="4DA7FFF4" w14:textId="4A45B17F" w:rsidR="00952A20" w:rsidRDefault="00952A20" w:rsidP="00952A20">
      <w:pPr>
        <w:rPr>
          <w:sz w:val="20"/>
        </w:rPr>
      </w:pPr>
      <w:r w:rsidRPr="00921E3F">
        <w:rPr>
          <w:sz w:val="20"/>
        </w:rPr>
        <w:t xml:space="preserve">Todas as informações sobre a inspeção de armazenamento de eletricidade podem ser encontradas em: </w:t>
      </w:r>
    </w:p>
    <w:p w14:paraId="6EB73591" w14:textId="5FC41D99" w:rsidR="005450B5" w:rsidRPr="005450B5" w:rsidRDefault="005450B5" w:rsidP="00952A20">
      <w:pPr>
        <w:rPr>
          <w:sz w:val="20"/>
          <w:szCs w:val="20"/>
          <w:lang w:val="de-DE"/>
        </w:rPr>
      </w:pPr>
      <w:hyperlink r:id="rId7" w:history="1">
        <w:r w:rsidRPr="009A5489">
          <w:rPr>
            <w:rStyle w:val="Hyperlink"/>
          </w:rPr>
          <w:t>https://solar.htw-berlin.de/studien/stromspeicher-inspektion-2023/</w:t>
        </w:r>
      </w:hyperlink>
    </w:p>
    <w:p w14:paraId="367F5336" w14:textId="77777777" w:rsidR="00952A20" w:rsidRPr="00921E3F" w:rsidRDefault="00952A20" w:rsidP="0044171E">
      <w:pPr>
        <w:spacing w:before="40" w:after="40"/>
        <w:jc w:val="both"/>
        <w:rPr>
          <w:sz w:val="20"/>
          <w:szCs w:val="20"/>
        </w:rPr>
      </w:pPr>
    </w:p>
    <w:p w14:paraId="39701604" w14:textId="2183BD16" w:rsidR="0044171E" w:rsidRPr="00921E3F" w:rsidRDefault="0044171E" w:rsidP="0044171E">
      <w:pPr>
        <w:spacing w:before="40" w:after="40"/>
        <w:jc w:val="both"/>
        <w:rPr>
          <w:sz w:val="20"/>
          <w:szCs w:val="20"/>
        </w:rPr>
      </w:pPr>
      <w:r w:rsidRPr="00921E3F">
        <w:rPr>
          <w:sz w:val="20"/>
        </w:rPr>
        <w:t xml:space="preserve">Palavras: </w:t>
      </w:r>
      <w:r w:rsidR="005450B5">
        <w:rPr>
          <w:sz w:val="20"/>
        </w:rPr>
        <w:t>440</w:t>
      </w:r>
    </w:p>
    <w:p w14:paraId="1C097BA3" w14:textId="59511968" w:rsidR="0044171E" w:rsidRPr="00921E3F" w:rsidRDefault="0044171E" w:rsidP="0044171E">
      <w:pPr>
        <w:spacing w:before="40" w:after="40"/>
        <w:jc w:val="both"/>
        <w:rPr>
          <w:sz w:val="20"/>
          <w:szCs w:val="20"/>
        </w:rPr>
      </w:pPr>
      <w:r w:rsidRPr="00921E3F">
        <w:rPr>
          <w:sz w:val="20"/>
        </w:rPr>
        <w:t xml:space="preserve">Caracteres: </w:t>
      </w:r>
      <w:r w:rsidR="005450B5">
        <w:rPr>
          <w:sz w:val="20"/>
        </w:rPr>
        <w:t xml:space="preserve">2803 </w:t>
      </w:r>
      <w:r w:rsidRPr="00921E3F">
        <w:rPr>
          <w:sz w:val="20"/>
        </w:rPr>
        <w:t>(com espaços)</w:t>
      </w:r>
    </w:p>
    <w:p w14:paraId="27EFE6A5" w14:textId="77777777" w:rsidR="0044171E" w:rsidRPr="00921E3F" w:rsidRDefault="0044171E" w:rsidP="00604BFB">
      <w:pPr>
        <w:jc w:val="both"/>
        <w:rPr>
          <w:sz w:val="20"/>
          <w:szCs w:val="20"/>
        </w:rPr>
      </w:pPr>
    </w:p>
    <w:p w14:paraId="7EC534EB" w14:textId="78A06791" w:rsidR="00B8257D" w:rsidRPr="00921E3F" w:rsidRDefault="00B8257D" w:rsidP="00604BFB">
      <w:pPr>
        <w:pStyle w:val="berschrift4"/>
        <w:jc w:val="both"/>
        <w:rPr>
          <w:sz w:val="20"/>
          <w:szCs w:val="20"/>
        </w:rPr>
      </w:pPr>
      <w:r w:rsidRPr="00921E3F">
        <w:rPr>
          <w:sz w:val="20"/>
        </w:rPr>
        <w:t>Visão geral do material gráfico</w:t>
      </w:r>
    </w:p>
    <w:p w14:paraId="5B350428" w14:textId="04DC91CA" w:rsidR="00952A20" w:rsidRPr="00921E3F" w:rsidRDefault="005450B5" w:rsidP="00952A20">
      <w:pPr>
        <w:jc w:val="both"/>
        <w:rPr>
          <w:sz w:val="18"/>
          <w:szCs w:val="18"/>
        </w:rPr>
      </w:pPr>
      <w:r>
        <w:rPr>
          <w:noProof/>
          <w:sz w:val="18"/>
          <w:szCs w:val="18"/>
        </w:rPr>
        <w:drawing>
          <wp:anchor distT="0" distB="0" distL="114300" distR="114300" simplePos="0" relativeHeight="251662336" behindDoc="1" locked="0" layoutInCell="1" allowOverlap="1" wp14:anchorId="1CD1A663" wp14:editId="31E8D9B1">
            <wp:simplePos x="0" y="0"/>
            <wp:positionH relativeFrom="margin">
              <wp:posOffset>0</wp:posOffset>
            </wp:positionH>
            <wp:positionV relativeFrom="paragraph">
              <wp:posOffset>275590</wp:posOffset>
            </wp:positionV>
            <wp:extent cx="2611959" cy="1841500"/>
            <wp:effectExtent l="0" t="0" r="0" b="6350"/>
            <wp:wrapTight wrapText="bothSides">
              <wp:wrapPolygon edited="0">
                <wp:start x="0" y="0"/>
                <wp:lineTo x="0" y="21451"/>
                <wp:lineTo x="21427" y="21451"/>
                <wp:lineTo x="21427" y="0"/>
                <wp:lineTo x="0" y="0"/>
              </wp:wrapPolygon>
            </wp:wrapTight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1959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ED536B" w14:textId="77777777" w:rsidR="00952A20" w:rsidRPr="00921E3F" w:rsidRDefault="00952A20" w:rsidP="00952A20">
      <w:pPr>
        <w:jc w:val="both"/>
        <w:rPr>
          <w:sz w:val="18"/>
          <w:szCs w:val="18"/>
        </w:rPr>
      </w:pPr>
    </w:p>
    <w:p w14:paraId="7AA5DE06" w14:textId="77777777" w:rsidR="00952A20" w:rsidRPr="00921E3F" w:rsidRDefault="00952A20" w:rsidP="00952A20">
      <w:pPr>
        <w:jc w:val="both"/>
        <w:rPr>
          <w:sz w:val="18"/>
          <w:szCs w:val="18"/>
        </w:rPr>
      </w:pPr>
    </w:p>
    <w:p w14:paraId="67A79752" w14:textId="77777777" w:rsidR="00952A20" w:rsidRPr="00921E3F" w:rsidRDefault="00952A20" w:rsidP="00952A20">
      <w:pPr>
        <w:jc w:val="both"/>
        <w:rPr>
          <w:sz w:val="18"/>
          <w:szCs w:val="18"/>
        </w:rPr>
      </w:pPr>
    </w:p>
    <w:p w14:paraId="7935025B" w14:textId="77777777" w:rsidR="00952A20" w:rsidRPr="00921E3F" w:rsidRDefault="00952A20" w:rsidP="00952A20">
      <w:pPr>
        <w:jc w:val="both"/>
        <w:rPr>
          <w:sz w:val="18"/>
          <w:szCs w:val="18"/>
        </w:rPr>
      </w:pPr>
    </w:p>
    <w:p w14:paraId="34C9512C" w14:textId="77777777" w:rsidR="00952A20" w:rsidRPr="00921E3F" w:rsidRDefault="00952A20" w:rsidP="00952A20">
      <w:pPr>
        <w:jc w:val="both"/>
        <w:rPr>
          <w:sz w:val="18"/>
          <w:szCs w:val="18"/>
        </w:rPr>
      </w:pPr>
    </w:p>
    <w:p w14:paraId="69E8A8F3" w14:textId="77777777" w:rsidR="005450B5" w:rsidRDefault="005450B5" w:rsidP="00952A20">
      <w:pPr>
        <w:jc w:val="both"/>
        <w:rPr>
          <w:sz w:val="18"/>
        </w:rPr>
      </w:pPr>
    </w:p>
    <w:p w14:paraId="14DED1BB" w14:textId="77777777" w:rsidR="005450B5" w:rsidRDefault="005450B5" w:rsidP="00952A20">
      <w:pPr>
        <w:jc w:val="both"/>
        <w:rPr>
          <w:sz w:val="18"/>
        </w:rPr>
      </w:pPr>
    </w:p>
    <w:p w14:paraId="24A328A2" w14:textId="4320AAAE" w:rsidR="00D73688" w:rsidRPr="00921E3F" w:rsidRDefault="00952A20" w:rsidP="00952A20">
      <w:pPr>
        <w:jc w:val="both"/>
        <w:rPr>
          <w:sz w:val="18"/>
          <w:szCs w:val="18"/>
        </w:rPr>
      </w:pPr>
      <w:r w:rsidRPr="00921E3F">
        <w:rPr>
          <w:sz w:val="18"/>
        </w:rPr>
        <w:t xml:space="preserve">A alta eficiência do sistema leva a um retorno de investimento mais rápido. </w:t>
      </w:r>
    </w:p>
    <w:p w14:paraId="15C02C1C" w14:textId="090F224A" w:rsidR="00952A20" w:rsidRPr="00921E3F" w:rsidRDefault="00952A20" w:rsidP="00952A20">
      <w:pPr>
        <w:jc w:val="both"/>
        <w:rPr>
          <w:sz w:val="18"/>
          <w:szCs w:val="18"/>
        </w:rPr>
      </w:pPr>
      <w:r w:rsidRPr="00921E3F">
        <w:rPr>
          <w:noProof/>
        </w:rPr>
        <w:drawing>
          <wp:anchor distT="0" distB="0" distL="114300" distR="114300" simplePos="0" relativeHeight="251659264" behindDoc="1" locked="0" layoutInCell="1" allowOverlap="1" wp14:anchorId="6021D1A2" wp14:editId="0C742AC4">
            <wp:simplePos x="0" y="0"/>
            <wp:positionH relativeFrom="margin">
              <wp:align>left</wp:align>
            </wp:positionH>
            <wp:positionV relativeFrom="paragraph">
              <wp:posOffset>254000</wp:posOffset>
            </wp:positionV>
            <wp:extent cx="2658745" cy="1495425"/>
            <wp:effectExtent l="0" t="0" r="8255" b="0"/>
            <wp:wrapTight wrapText="bothSides">
              <wp:wrapPolygon edited="0">
                <wp:start x="0" y="0"/>
                <wp:lineTo x="0" y="21187"/>
                <wp:lineTo x="21512" y="21187"/>
                <wp:lineTo x="21512" y="0"/>
                <wp:lineTo x="0" y="0"/>
              </wp:wrapPolygon>
            </wp:wrapTight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4406" cy="149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5227D9" w14:textId="77777777" w:rsidR="00952A20" w:rsidRPr="00921E3F" w:rsidRDefault="00952A20" w:rsidP="00952A20">
      <w:pPr>
        <w:jc w:val="both"/>
        <w:rPr>
          <w:sz w:val="20"/>
          <w:szCs w:val="20"/>
        </w:rPr>
      </w:pPr>
    </w:p>
    <w:p w14:paraId="310200CC" w14:textId="77777777" w:rsidR="00952A20" w:rsidRPr="00921E3F" w:rsidRDefault="00952A20" w:rsidP="00952A20">
      <w:pPr>
        <w:jc w:val="both"/>
        <w:rPr>
          <w:sz w:val="20"/>
          <w:szCs w:val="20"/>
        </w:rPr>
      </w:pPr>
    </w:p>
    <w:p w14:paraId="5DD038F4" w14:textId="77777777" w:rsidR="00952A20" w:rsidRPr="00921E3F" w:rsidRDefault="00952A20" w:rsidP="00952A20">
      <w:pPr>
        <w:jc w:val="both"/>
        <w:rPr>
          <w:sz w:val="20"/>
          <w:szCs w:val="20"/>
        </w:rPr>
      </w:pPr>
    </w:p>
    <w:p w14:paraId="7B1E804D" w14:textId="77777777" w:rsidR="00952A20" w:rsidRPr="00921E3F" w:rsidRDefault="00952A20" w:rsidP="00952A20">
      <w:pPr>
        <w:jc w:val="both"/>
        <w:rPr>
          <w:sz w:val="20"/>
          <w:szCs w:val="20"/>
        </w:rPr>
      </w:pPr>
    </w:p>
    <w:p w14:paraId="68574E15" w14:textId="77777777" w:rsidR="005450B5" w:rsidRDefault="005450B5" w:rsidP="00952A20">
      <w:pPr>
        <w:jc w:val="both"/>
        <w:rPr>
          <w:sz w:val="16"/>
        </w:rPr>
      </w:pPr>
    </w:p>
    <w:p w14:paraId="64605D74" w14:textId="77777777" w:rsidR="005450B5" w:rsidRDefault="005450B5" w:rsidP="00952A20">
      <w:pPr>
        <w:jc w:val="both"/>
        <w:rPr>
          <w:sz w:val="16"/>
        </w:rPr>
      </w:pPr>
    </w:p>
    <w:p w14:paraId="557E54D5" w14:textId="785B5F35" w:rsidR="00952A20" w:rsidRPr="00921E3F" w:rsidRDefault="00952A20" w:rsidP="00952A20">
      <w:pPr>
        <w:jc w:val="both"/>
        <w:rPr>
          <w:sz w:val="16"/>
          <w:szCs w:val="16"/>
        </w:rPr>
      </w:pPr>
      <w:r w:rsidRPr="00921E3F">
        <w:rPr>
          <w:sz w:val="16"/>
        </w:rPr>
        <w:t>Martin Hackl, Diretor Global da Unidade de Negócios Solar Energy da Fronius International GmbH.</w:t>
      </w:r>
    </w:p>
    <w:p w14:paraId="6C63BF03" w14:textId="4ABD2697" w:rsidR="00952A20" w:rsidRPr="00921E3F" w:rsidRDefault="00952A20" w:rsidP="00952A20">
      <w:pPr>
        <w:jc w:val="both"/>
        <w:rPr>
          <w:sz w:val="20"/>
          <w:szCs w:val="20"/>
        </w:rPr>
      </w:pPr>
      <w:r w:rsidRPr="00921E3F">
        <w:rPr>
          <w:noProof/>
          <w:sz w:val="20"/>
        </w:rPr>
        <w:lastRenderedPageBreak/>
        <w:drawing>
          <wp:anchor distT="0" distB="0" distL="114300" distR="114300" simplePos="0" relativeHeight="251660288" behindDoc="1" locked="0" layoutInCell="1" allowOverlap="1" wp14:anchorId="5F995ECB" wp14:editId="1AB009A0">
            <wp:simplePos x="0" y="0"/>
            <wp:positionH relativeFrom="margin">
              <wp:align>left</wp:align>
            </wp:positionH>
            <wp:positionV relativeFrom="paragraph">
              <wp:posOffset>48260</wp:posOffset>
            </wp:positionV>
            <wp:extent cx="2658745" cy="1772920"/>
            <wp:effectExtent l="0" t="0" r="8255" b="0"/>
            <wp:wrapTight wrapText="bothSides">
              <wp:wrapPolygon edited="0">
                <wp:start x="0" y="0"/>
                <wp:lineTo x="0" y="21352"/>
                <wp:lineTo x="21512" y="21352"/>
                <wp:lineTo x="21512" y="0"/>
                <wp:lineTo x="0" y="0"/>
              </wp:wrapPolygon>
            </wp:wrapTight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745" cy="1772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FFBF6F" w14:textId="77777777" w:rsidR="00952A20" w:rsidRPr="00921E3F" w:rsidRDefault="00952A20" w:rsidP="00952A20">
      <w:pPr>
        <w:jc w:val="both"/>
        <w:rPr>
          <w:sz w:val="20"/>
          <w:szCs w:val="20"/>
        </w:rPr>
      </w:pPr>
    </w:p>
    <w:p w14:paraId="51A03DE0" w14:textId="77777777" w:rsidR="00952A20" w:rsidRPr="00921E3F" w:rsidRDefault="00952A20" w:rsidP="00952A20">
      <w:pPr>
        <w:jc w:val="both"/>
        <w:rPr>
          <w:sz w:val="20"/>
          <w:szCs w:val="20"/>
        </w:rPr>
      </w:pPr>
    </w:p>
    <w:p w14:paraId="483C362A" w14:textId="77777777" w:rsidR="00952A20" w:rsidRPr="00921E3F" w:rsidRDefault="00952A20" w:rsidP="00952A20">
      <w:pPr>
        <w:jc w:val="both"/>
        <w:rPr>
          <w:sz w:val="20"/>
          <w:szCs w:val="20"/>
        </w:rPr>
      </w:pPr>
    </w:p>
    <w:p w14:paraId="408186E8" w14:textId="77777777" w:rsidR="00952A20" w:rsidRPr="00921E3F" w:rsidRDefault="00952A20" w:rsidP="00952A20">
      <w:pPr>
        <w:jc w:val="both"/>
        <w:rPr>
          <w:sz w:val="20"/>
          <w:szCs w:val="20"/>
        </w:rPr>
      </w:pPr>
    </w:p>
    <w:p w14:paraId="4964614E" w14:textId="77777777" w:rsidR="005450B5" w:rsidRDefault="005450B5" w:rsidP="00952A20">
      <w:pPr>
        <w:jc w:val="both"/>
        <w:rPr>
          <w:sz w:val="16"/>
        </w:rPr>
      </w:pPr>
    </w:p>
    <w:p w14:paraId="302C2EF0" w14:textId="77777777" w:rsidR="005450B5" w:rsidRDefault="005450B5" w:rsidP="00952A20">
      <w:pPr>
        <w:jc w:val="both"/>
        <w:rPr>
          <w:sz w:val="16"/>
        </w:rPr>
      </w:pPr>
    </w:p>
    <w:p w14:paraId="0B8C41CF" w14:textId="2A11750C" w:rsidR="00952A20" w:rsidRDefault="00952A20" w:rsidP="00952A20">
      <w:pPr>
        <w:jc w:val="both"/>
        <w:rPr>
          <w:sz w:val="16"/>
        </w:rPr>
      </w:pPr>
      <w:r w:rsidRPr="00921E3F">
        <w:rPr>
          <w:sz w:val="16"/>
        </w:rPr>
        <w:t>Susanne Lampl, Gerente de Produto, Unidade de Negócios Solar Energy, Fronius International GmbH.</w:t>
      </w:r>
    </w:p>
    <w:p w14:paraId="7AC40840" w14:textId="77777777" w:rsidR="005450B5" w:rsidRPr="00921E3F" w:rsidRDefault="005450B5" w:rsidP="00952A20">
      <w:pPr>
        <w:jc w:val="both"/>
        <w:rPr>
          <w:sz w:val="16"/>
          <w:szCs w:val="16"/>
        </w:rPr>
      </w:pPr>
    </w:p>
    <w:p w14:paraId="678B5CFF" w14:textId="25003DBD" w:rsidR="00B8257D" w:rsidRPr="00921E3F" w:rsidRDefault="00B25C3B" w:rsidP="00604BFB">
      <w:pPr>
        <w:jc w:val="both"/>
        <w:rPr>
          <w:i/>
          <w:iCs/>
          <w:sz w:val="18"/>
          <w:szCs w:val="18"/>
        </w:rPr>
      </w:pPr>
      <w:r w:rsidRPr="00921E3F">
        <w:rPr>
          <w:i/>
          <w:sz w:val="18"/>
        </w:rPr>
        <w:t>Direitos de imagem: Fronius International GmbH, impressão gratuita</w:t>
      </w:r>
    </w:p>
    <w:p w14:paraId="79B5663E" w14:textId="77777777" w:rsidR="005450B5" w:rsidRDefault="005450B5" w:rsidP="005450B5">
      <w:pPr>
        <w:pStyle w:val="berschrift4"/>
        <w:jc w:val="both"/>
        <w:rPr>
          <w:sz w:val="20"/>
        </w:rPr>
      </w:pPr>
    </w:p>
    <w:p w14:paraId="53D3CD87" w14:textId="77777777" w:rsidR="005450B5" w:rsidRDefault="005450B5" w:rsidP="005450B5">
      <w:pPr>
        <w:pStyle w:val="berschrift4"/>
        <w:jc w:val="both"/>
        <w:rPr>
          <w:sz w:val="20"/>
        </w:rPr>
      </w:pPr>
    </w:p>
    <w:p w14:paraId="033CF85A" w14:textId="77777777" w:rsidR="005450B5" w:rsidRDefault="005450B5" w:rsidP="005450B5">
      <w:pPr>
        <w:pStyle w:val="berschrift4"/>
        <w:jc w:val="both"/>
        <w:rPr>
          <w:sz w:val="20"/>
        </w:rPr>
      </w:pPr>
    </w:p>
    <w:p w14:paraId="6EAD3AA3" w14:textId="77777777" w:rsidR="005450B5" w:rsidRDefault="005450B5" w:rsidP="005450B5">
      <w:pPr>
        <w:pStyle w:val="berschrift4"/>
        <w:jc w:val="both"/>
        <w:rPr>
          <w:sz w:val="20"/>
        </w:rPr>
      </w:pPr>
    </w:p>
    <w:p w14:paraId="12A74100" w14:textId="77777777" w:rsidR="005450B5" w:rsidRDefault="005450B5" w:rsidP="005450B5">
      <w:pPr>
        <w:pStyle w:val="berschrift4"/>
        <w:jc w:val="both"/>
        <w:rPr>
          <w:sz w:val="20"/>
        </w:rPr>
      </w:pPr>
    </w:p>
    <w:p w14:paraId="74829D1D" w14:textId="77777777" w:rsidR="005450B5" w:rsidRDefault="005450B5" w:rsidP="005450B5">
      <w:pPr>
        <w:pStyle w:val="berschrift4"/>
        <w:jc w:val="both"/>
        <w:rPr>
          <w:sz w:val="20"/>
        </w:rPr>
      </w:pPr>
    </w:p>
    <w:p w14:paraId="0D55D459" w14:textId="77777777" w:rsidR="005450B5" w:rsidRDefault="005450B5" w:rsidP="005450B5">
      <w:pPr>
        <w:pStyle w:val="berschrift4"/>
        <w:jc w:val="both"/>
        <w:rPr>
          <w:sz w:val="20"/>
        </w:rPr>
      </w:pPr>
    </w:p>
    <w:p w14:paraId="5199BE7C" w14:textId="77777777" w:rsidR="005450B5" w:rsidRDefault="005450B5" w:rsidP="005450B5">
      <w:pPr>
        <w:pStyle w:val="berschrift4"/>
        <w:jc w:val="both"/>
        <w:rPr>
          <w:sz w:val="20"/>
        </w:rPr>
      </w:pPr>
    </w:p>
    <w:p w14:paraId="079DFAFA" w14:textId="72568152" w:rsidR="005450B5" w:rsidRDefault="005450B5" w:rsidP="005450B5">
      <w:pPr>
        <w:pStyle w:val="berschrift4"/>
        <w:jc w:val="both"/>
        <w:rPr>
          <w:sz w:val="20"/>
        </w:rPr>
      </w:pPr>
    </w:p>
    <w:p w14:paraId="7BAC26EA" w14:textId="165DD03A" w:rsidR="005450B5" w:rsidRDefault="005450B5" w:rsidP="005450B5"/>
    <w:p w14:paraId="280A063B" w14:textId="239DD203" w:rsidR="005450B5" w:rsidRDefault="005450B5" w:rsidP="005450B5"/>
    <w:p w14:paraId="788E88FD" w14:textId="0F2A5231" w:rsidR="005450B5" w:rsidRDefault="005450B5" w:rsidP="005450B5"/>
    <w:p w14:paraId="659FD413" w14:textId="3F97D889" w:rsidR="005450B5" w:rsidRDefault="005450B5" w:rsidP="005450B5"/>
    <w:p w14:paraId="3F5ACE5F" w14:textId="19ABDABF" w:rsidR="005450B5" w:rsidRDefault="005450B5" w:rsidP="005450B5"/>
    <w:p w14:paraId="70F388C2" w14:textId="49D25D3B" w:rsidR="005450B5" w:rsidRDefault="005450B5" w:rsidP="005450B5"/>
    <w:p w14:paraId="264F89DC" w14:textId="54688633" w:rsidR="005450B5" w:rsidRDefault="005450B5" w:rsidP="005450B5"/>
    <w:p w14:paraId="48F14518" w14:textId="6AF47924" w:rsidR="005450B5" w:rsidRDefault="005450B5" w:rsidP="005450B5"/>
    <w:p w14:paraId="3FD84899" w14:textId="6765EC6C" w:rsidR="005450B5" w:rsidRDefault="005450B5" w:rsidP="005450B5"/>
    <w:p w14:paraId="4C2BD914" w14:textId="4933B90B" w:rsidR="005450B5" w:rsidRDefault="005450B5" w:rsidP="005450B5"/>
    <w:p w14:paraId="604EC099" w14:textId="77777777" w:rsidR="005450B5" w:rsidRPr="005450B5" w:rsidRDefault="005450B5" w:rsidP="005450B5"/>
    <w:p w14:paraId="53597E85" w14:textId="4F2D239D" w:rsidR="005450B5" w:rsidRDefault="005450B5" w:rsidP="005450B5">
      <w:pPr>
        <w:pStyle w:val="berschrift4"/>
        <w:jc w:val="both"/>
        <w:rPr>
          <w:sz w:val="20"/>
        </w:rPr>
      </w:pPr>
    </w:p>
    <w:p w14:paraId="11BC2058" w14:textId="77777777" w:rsidR="005450B5" w:rsidRPr="005450B5" w:rsidRDefault="005450B5" w:rsidP="005450B5"/>
    <w:p w14:paraId="49FB77BB" w14:textId="77777777" w:rsidR="005450B5" w:rsidRDefault="005450B5" w:rsidP="005450B5">
      <w:pPr>
        <w:pStyle w:val="berschrift4"/>
        <w:jc w:val="both"/>
        <w:rPr>
          <w:sz w:val="20"/>
        </w:rPr>
      </w:pPr>
    </w:p>
    <w:p w14:paraId="2D49433A" w14:textId="483F931C" w:rsidR="005450B5" w:rsidRPr="00542C15" w:rsidRDefault="005450B5" w:rsidP="005450B5">
      <w:pPr>
        <w:pStyle w:val="berschrift4"/>
        <w:jc w:val="both"/>
        <w:rPr>
          <w:sz w:val="20"/>
          <w:szCs w:val="20"/>
        </w:rPr>
      </w:pPr>
      <w:r w:rsidRPr="00542C15">
        <w:rPr>
          <w:sz w:val="20"/>
        </w:rPr>
        <w:t>Unidade de Negócios Solar Energy</w:t>
      </w:r>
    </w:p>
    <w:p w14:paraId="6EA4D193" w14:textId="5CE544DB" w:rsidR="005450B5" w:rsidRPr="00542C15" w:rsidRDefault="005450B5" w:rsidP="005450B5">
      <w:pPr>
        <w:jc w:val="both"/>
        <w:rPr>
          <w:sz w:val="20"/>
          <w:szCs w:val="20"/>
        </w:rPr>
      </w:pPr>
      <w:r w:rsidRPr="00542C15">
        <w:rPr>
          <w:sz w:val="20"/>
        </w:rPr>
        <w:t>Fundada em 1992, a Unidade de Negócio Solar Energy da Fronius comemora neste ano seu 30º aniversário. Sob o lema „Energize your life.“ desenvolvemos soluções inovadoras que permitem que a energia solar seja gerada, armazenada, distribuída e consumida de forma rentável e inteligente. A Fronius Solar Energy possibilita o uso das 24 horas de sol por dia, abrindo caminho para um futuro que vale a pena viver, no qual as energias renováveis ​cobrem 100% das necessidades energéticas do mundo. Nossas soluções são desenvolvidas de modo sustentável e produzidas inteiramente na Europa, principalmente na Áustria. A Fronius Solar Energy possui 26 filiais em todo o mundo e pode contar com uma produção total de mais de 2</w:t>
      </w:r>
      <w:r>
        <w:rPr>
          <w:sz w:val="20"/>
        </w:rPr>
        <w:t>9</w:t>
      </w:r>
      <w:r w:rsidRPr="00542C15">
        <w:rPr>
          <w:sz w:val="20"/>
        </w:rPr>
        <w:t xml:space="preserve"> gigawatts de inversores instalados até o momento. As vendas são realizadas por uma rede de competência global de distribuidores de instalação, serviços e vendas.</w:t>
      </w:r>
    </w:p>
    <w:p w14:paraId="4408D582" w14:textId="77777777" w:rsidR="005450B5" w:rsidRPr="00542C15" w:rsidRDefault="005450B5" w:rsidP="005450B5">
      <w:pPr>
        <w:spacing w:after="0" w:line="240" w:lineRule="auto"/>
        <w:jc w:val="both"/>
        <w:rPr>
          <w:b/>
          <w:bCs/>
          <w:sz w:val="20"/>
          <w:szCs w:val="20"/>
        </w:rPr>
      </w:pPr>
      <w:bookmarkStart w:id="0" w:name="_Hlk107480427"/>
      <w:r w:rsidRPr="00542C15">
        <w:rPr>
          <w:b/>
          <w:sz w:val="20"/>
        </w:rPr>
        <w:t>Somos a Fronius.</w:t>
      </w:r>
    </w:p>
    <w:bookmarkEnd w:id="0"/>
    <w:p w14:paraId="21F3C5A7" w14:textId="1E2AD94A" w:rsidR="005450B5" w:rsidRPr="00542C15" w:rsidRDefault="005450B5" w:rsidP="005450B5">
      <w:pPr>
        <w:spacing w:after="0" w:line="240" w:lineRule="auto"/>
        <w:jc w:val="both"/>
        <w:rPr>
          <w:sz w:val="20"/>
          <w:szCs w:val="20"/>
        </w:rPr>
      </w:pPr>
      <w:r w:rsidRPr="00542C15">
        <w:rPr>
          <w:sz w:val="20"/>
        </w:rPr>
        <w:t xml:space="preserve">Mais de </w:t>
      </w:r>
      <w:r>
        <w:rPr>
          <w:sz w:val="20"/>
        </w:rPr>
        <w:t>7</w:t>
      </w:r>
      <w:r w:rsidRPr="00542C15">
        <w:rPr>
          <w:sz w:val="20"/>
        </w:rPr>
        <w:t>.</w:t>
      </w:r>
      <w:r>
        <w:rPr>
          <w:sz w:val="20"/>
        </w:rPr>
        <w:t>0</w:t>
      </w:r>
      <w:r w:rsidRPr="00542C15">
        <w:rPr>
          <w:sz w:val="20"/>
        </w:rPr>
        <w:t>00 funcionários em todo o mundo, uma participação atual de exportação de 89% e 1.366 patentes ativas: este somos nós, a Fronius. Fundada em 1945 como uma operação regional de um homem só, agora somos um dos players globais, como demonstrado de modo impressionante por nossas 37 subsidiárias internacionais e nossa rede de distribuidores em mais de 60 países. No entanto, em nosso núcleo, ainda somos uma empresa familiar da Áustria, ativa em tecnologia fotovoltaica, soldagem e carregamento de baterias. Sempre desenvolvemos produtos e soluções para um futuro habitável, oferecendo a nossos clientes um pacote completo: desde o planejamento preliminar e consultoria até o monitoramento contínuo e um serviço de reparo sob medida para suas necessidades. Somos inovadores. Somos curiosos. Somos a Fronius.</w:t>
      </w:r>
    </w:p>
    <w:p w14:paraId="1FF260F3" w14:textId="77777777" w:rsidR="005450B5" w:rsidRPr="00542C15" w:rsidRDefault="005450B5" w:rsidP="005450B5">
      <w:pPr>
        <w:jc w:val="both"/>
        <w:rPr>
          <w:sz w:val="20"/>
          <w:szCs w:val="20"/>
        </w:rPr>
      </w:pPr>
    </w:p>
    <w:p w14:paraId="307E167B" w14:textId="77777777" w:rsidR="005450B5" w:rsidRPr="002F207D" w:rsidRDefault="005450B5" w:rsidP="005450B5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Informação de contacto</w:t>
      </w:r>
    </w:p>
    <w:p w14:paraId="70313C1B" w14:textId="77777777" w:rsidR="005450B5" w:rsidRDefault="005450B5" w:rsidP="005450B5">
      <w:pPr>
        <w:rPr>
          <w:sz w:val="20"/>
        </w:rPr>
      </w:pPr>
      <w:r>
        <w:rPr>
          <w:sz w:val="20"/>
        </w:rPr>
        <w:t>Fronius International GmbH, Mag. Andrea SCHARTNER,</w:t>
      </w:r>
      <w:r>
        <w:rPr>
          <w:sz w:val="20"/>
        </w:rPr>
        <w:br/>
        <w:t xml:space="preserve">+43 664 88536765, </w:t>
      </w:r>
      <w:hyperlink r:id="rId11" w:history="1">
        <w:r>
          <w:rPr>
            <w:rStyle w:val="Hyperlink"/>
            <w:sz w:val="20"/>
          </w:rPr>
          <w:t>schartner.andrea@fronius.com</w:t>
        </w:r>
      </w:hyperlink>
      <w:r>
        <w:rPr>
          <w:sz w:val="20"/>
        </w:rPr>
        <w:t>,</w:t>
      </w:r>
      <w:r>
        <w:rPr>
          <w:sz w:val="20"/>
        </w:rPr>
        <w:br/>
        <w:t>Froniusplatz 1, 4600 Wels, Áustria</w:t>
      </w:r>
    </w:p>
    <w:p w14:paraId="2BDBC654" w14:textId="77777777" w:rsidR="005450B5" w:rsidRPr="00707AA6" w:rsidRDefault="005450B5" w:rsidP="005450B5">
      <w:pPr>
        <w:rPr>
          <w:sz w:val="20"/>
        </w:rPr>
      </w:pPr>
      <w:r w:rsidRPr="00707AA6">
        <w:rPr>
          <w:sz w:val="20"/>
        </w:rPr>
        <w:t xml:space="preserve">Laura GONZALEZ, +34 91 649 60 40, </w:t>
      </w:r>
      <w:hyperlink r:id="rId12" w:history="1">
        <w:r w:rsidRPr="00707AA6">
          <w:rPr>
            <w:rStyle w:val="Hyperlink"/>
            <w:sz w:val="20"/>
            <w:szCs w:val="18"/>
          </w:rPr>
          <w:t>gonzalez.laura@fronius.com</w:t>
        </w:r>
      </w:hyperlink>
      <w:r w:rsidRPr="00707AA6">
        <w:rPr>
          <w:rStyle w:val="Hyperlink"/>
          <w:sz w:val="20"/>
          <w:szCs w:val="18"/>
        </w:rPr>
        <w:t>,</w:t>
      </w:r>
      <w:r w:rsidRPr="00707AA6">
        <w:rPr>
          <w:sz w:val="20"/>
        </w:rPr>
        <w:t xml:space="preserve"> Calle Arroyo del Soto n° 17, 28914 – Leganés, Espanha.</w:t>
      </w:r>
    </w:p>
    <w:p w14:paraId="29545B5C" w14:textId="77777777" w:rsidR="005450B5" w:rsidRDefault="005450B5" w:rsidP="005450B5">
      <w:pPr>
        <w:rPr>
          <w:sz w:val="20"/>
        </w:rPr>
      </w:pPr>
      <w:r w:rsidRPr="00707AA6">
        <w:rPr>
          <w:sz w:val="20"/>
        </w:rPr>
        <w:t xml:space="preserve">Thais BITENCOURT, +55 11 3563-3803, </w:t>
      </w:r>
      <w:hyperlink r:id="rId13" w:history="1">
        <w:r w:rsidRPr="00707AA6">
          <w:rPr>
            <w:rStyle w:val="Hyperlink"/>
            <w:sz w:val="20"/>
            <w:szCs w:val="20"/>
          </w:rPr>
          <w:t>bitencourt.thais@fronius.com</w:t>
        </w:r>
      </w:hyperlink>
      <w:r w:rsidRPr="00707AA6">
        <w:rPr>
          <w:sz w:val="20"/>
        </w:rPr>
        <w:t>, R. José Martins Fernandes, 601 Batistini,  CEP: 09840-260, São Bernardo do Campo – SP, Brasil</w:t>
      </w:r>
    </w:p>
    <w:p w14:paraId="24419FE8" w14:textId="77777777" w:rsidR="005450B5" w:rsidRPr="00707AA6" w:rsidRDefault="005450B5" w:rsidP="005450B5">
      <w:pPr>
        <w:rPr>
          <w:sz w:val="20"/>
        </w:rPr>
      </w:pPr>
    </w:p>
    <w:p w14:paraId="04A045B3" w14:textId="77777777" w:rsidR="005450B5" w:rsidRDefault="005450B5" w:rsidP="005450B5">
      <w:pPr>
        <w:spacing w:before="40" w:after="40" w:line="240" w:lineRule="auto"/>
        <w:rPr>
          <w:rStyle w:val="Hyperlink"/>
          <w:sz w:val="20"/>
          <w:szCs w:val="20"/>
        </w:rPr>
      </w:pPr>
      <w:r>
        <w:rPr>
          <w:color w:val="000000" w:themeColor="text1"/>
          <w:sz w:val="20"/>
          <w:u w:val="single"/>
        </w:rPr>
        <w:t>Exemplar de amostra</w:t>
      </w:r>
      <w:r>
        <w:rPr>
          <w:color w:val="000000" w:themeColor="text1"/>
          <w:sz w:val="20"/>
          <w:u w:val="single"/>
        </w:rPr>
        <w:br/>
      </w:r>
      <w:r>
        <w:rPr>
          <w:sz w:val="20"/>
        </w:rPr>
        <w:t>a1kommunikation Schweizer GmbH, Rüdiger KEMPA,</w:t>
      </w:r>
      <w:r>
        <w:rPr>
          <w:sz w:val="20"/>
        </w:rPr>
        <w:br/>
      </w:r>
      <w:hyperlink r:id="rId14" w:history="1">
        <w:r>
          <w:rPr>
            <w:rStyle w:val="Hyperlink"/>
            <w:sz w:val="20"/>
          </w:rPr>
          <w:t>rke@a1kommunikation.de</w:t>
        </w:r>
      </w:hyperlink>
    </w:p>
    <w:p w14:paraId="139EA345" w14:textId="77777777" w:rsidR="005450B5" w:rsidRPr="00C52F19" w:rsidRDefault="005450B5" w:rsidP="005450B5">
      <w:pPr>
        <w:spacing w:before="40" w:after="40" w:line="240" w:lineRule="auto"/>
        <w:rPr>
          <w:color w:val="0563C1" w:themeColor="hyperlink"/>
          <w:sz w:val="20"/>
          <w:szCs w:val="20"/>
          <w:u w:val="single"/>
        </w:rPr>
      </w:pPr>
      <w:r>
        <w:rPr>
          <w:sz w:val="20"/>
        </w:rPr>
        <w:t>Oberdorfstraße 31A, 70794 Filderstadt, Alemanha</w:t>
      </w:r>
    </w:p>
    <w:p w14:paraId="47EA4D3B" w14:textId="77777777" w:rsidR="005450B5" w:rsidRDefault="005450B5" w:rsidP="005450B5">
      <w:pPr>
        <w:jc w:val="both"/>
        <w:rPr>
          <w:sz w:val="16"/>
          <w:szCs w:val="16"/>
        </w:rPr>
      </w:pPr>
    </w:p>
    <w:p w14:paraId="02A1AEFF" w14:textId="77777777" w:rsidR="005450B5" w:rsidRPr="00604BFB" w:rsidRDefault="005450B5" w:rsidP="005450B5">
      <w:pPr>
        <w:jc w:val="both"/>
        <w:rPr>
          <w:sz w:val="16"/>
          <w:szCs w:val="16"/>
        </w:rPr>
      </w:pPr>
      <w:r>
        <w:rPr>
          <w:sz w:val="16"/>
        </w:rPr>
        <w:t xml:space="preserve">Se já não deseja receber comunicados de imprensa da Fronius International (Business Unit Solar Energy), responda com UNSUBSCRIBE para o endereço de correio eletrónico </w:t>
      </w:r>
      <w:hyperlink r:id="rId15" w:history="1">
        <w:r>
          <w:rPr>
            <w:rStyle w:val="Hyperlink"/>
            <w:sz w:val="16"/>
          </w:rPr>
          <w:t>cancellation@fronius.com</w:t>
        </w:r>
      </w:hyperlink>
      <w:r>
        <w:rPr>
          <w:sz w:val="16"/>
        </w:rPr>
        <w:t>.</w:t>
      </w:r>
    </w:p>
    <w:p w14:paraId="0FC328F5" w14:textId="77777777" w:rsidR="005450B5" w:rsidRPr="00542C15" w:rsidRDefault="005450B5" w:rsidP="005450B5">
      <w:pPr>
        <w:pStyle w:val="berschrift4"/>
        <w:jc w:val="both"/>
        <w:rPr>
          <w:sz w:val="16"/>
          <w:szCs w:val="16"/>
        </w:rPr>
      </w:pPr>
    </w:p>
    <w:p w14:paraId="4D06FAF3" w14:textId="77777777" w:rsidR="005450B5" w:rsidRPr="00604BFB" w:rsidRDefault="005450B5" w:rsidP="005450B5">
      <w:pPr>
        <w:pStyle w:val="berschrift4"/>
        <w:jc w:val="both"/>
        <w:rPr>
          <w:sz w:val="16"/>
          <w:szCs w:val="16"/>
        </w:rPr>
      </w:pPr>
    </w:p>
    <w:p w14:paraId="1FD612BF" w14:textId="77777777" w:rsidR="005450B5" w:rsidRPr="00445CCD" w:rsidRDefault="005450B5" w:rsidP="005450B5">
      <w:pPr>
        <w:pStyle w:val="berschrift4"/>
        <w:jc w:val="both"/>
        <w:rPr>
          <w:sz w:val="16"/>
          <w:szCs w:val="16"/>
          <w:lang w:val="de-AT"/>
        </w:rPr>
      </w:pPr>
    </w:p>
    <w:p w14:paraId="790215F6" w14:textId="4D7D769C" w:rsidR="00670F02" w:rsidRPr="00604BFB" w:rsidRDefault="00670F02" w:rsidP="00604BFB">
      <w:pPr>
        <w:jc w:val="both"/>
        <w:rPr>
          <w:sz w:val="16"/>
          <w:szCs w:val="16"/>
        </w:rPr>
      </w:pPr>
    </w:p>
    <w:sectPr w:rsidR="00670F02" w:rsidRPr="00604BFB">
      <w:headerReference w:type="default" r:id="rId16"/>
      <w:footerReference w:type="default" r:id="rId1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DF2ACD" w14:textId="77777777" w:rsidR="00FA7693" w:rsidRDefault="00FA7693" w:rsidP="00B54547">
      <w:pPr>
        <w:spacing w:after="0" w:line="240" w:lineRule="auto"/>
      </w:pPr>
      <w:r>
        <w:separator/>
      </w:r>
    </w:p>
  </w:endnote>
  <w:endnote w:type="continuationSeparator" w:id="0">
    <w:p w14:paraId="7AB66B0B" w14:textId="77777777" w:rsidR="00FA7693" w:rsidRDefault="00FA7693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E754B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7C6CB22" wp14:editId="1D581076">
              <wp:simplePos x="0" y="0"/>
              <wp:positionH relativeFrom="margin">
                <wp:posOffset>-97155</wp:posOffset>
              </wp:positionH>
              <wp:positionV relativeFrom="page">
                <wp:posOffset>10050145</wp:posOffset>
              </wp:positionV>
              <wp:extent cx="6142355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42355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90CC76" w14:textId="3B5A419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Classificação de Informação: Pública</w:t>
                          </w:r>
                        </w:p>
                        <w:p w14:paraId="4A0087EF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6CB22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-7.65pt;margin-top:791.35pt;width:483.6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" filled="f" stroked="f" strokeweight=".5pt">
              <v:textbox>
                <w:txbxContent>
                  <w:p w14:paraId="2C90CC76" w14:textId="3B5A419D" w:rsidR="00B54547" w:rsidRPr="003D4817" w:rsidRDefault="00B54547" w:rsidP="00B54547">
                    <w:pPr>
                      <w:spacing w:after="0" w:line="293" w:lineRule="auto"/>
                      <w:rPr>
                        <w:sz w:val="12"/>
                        <w:szCs w:val="12"/>
                        <w:rFonts w:cs="Noto Sans"/>
                      </w:rPr>
                    </w:pPr>
                    <w:r>
                      <w:rPr>
                        <w:sz w:val="12"/>
                      </w:rPr>
                      <w:t xml:space="preserve">Classificação de Informação: Pública</w:t>
                    </w:r>
                  </w:p>
                  <w:p w14:paraId="4A0087EF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04D600" w14:textId="77777777" w:rsidR="00FA7693" w:rsidRDefault="00FA7693" w:rsidP="00B54547">
      <w:pPr>
        <w:spacing w:after="0" w:line="240" w:lineRule="auto"/>
      </w:pPr>
      <w:r>
        <w:separator/>
      </w:r>
    </w:p>
  </w:footnote>
  <w:footnote w:type="continuationSeparator" w:id="0">
    <w:p w14:paraId="45D7E4C7" w14:textId="77777777" w:rsidR="00FA7693" w:rsidRDefault="00FA7693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981C38"/>
    <w:multiLevelType w:val="hybridMultilevel"/>
    <w:tmpl w:val="80D4ED9E"/>
    <w:lvl w:ilvl="0" w:tplc="75CEDE8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954EDAA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2CEFB6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A01536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96451E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93ECC96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E56BC6A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DAEFF2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FA6B39A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6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7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8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467D88"/>
    <w:multiLevelType w:val="hybridMultilevel"/>
    <w:tmpl w:val="09788638"/>
    <w:lvl w:ilvl="0" w:tplc="11D8132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986809">
    <w:abstractNumId w:val="8"/>
  </w:num>
  <w:num w:numId="2" w16cid:durableId="20741609">
    <w:abstractNumId w:val="0"/>
  </w:num>
  <w:num w:numId="3" w16cid:durableId="1189872239">
    <w:abstractNumId w:val="5"/>
  </w:num>
  <w:num w:numId="4" w16cid:durableId="1547373761">
    <w:abstractNumId w:val="7"/>
  </w:num>
  <w:num w:numId="5" w16cid:durableId="2110468141">
    <w:abstractNumId w:val="6"/>
  </w:num>
  <w:num w:numId="6" w16cid:durableId="1034384457">
    <w:abstractNumId w:val="1"/>
  </w:num>
  <w:num w:numId="7" w16cid:durableId="191187278">
    <w:abstractNumId w:val="4"/>
  </w:num>
  <w:num w:numId="8" w16cid:durableId="986014788">
    <w:abstractNumId w:val="3"/>
  </w:num>
  <w:num w:numId="9" w16cid:durableId="1446076719">
    <w:abstractNumId w:val="9"/>
  </w:num>
  <w:num w:numId="10" w16cid:durableId="7493044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1297E"/>
    <w:rsid w:val="00030C3B"/>
    <w:rsid w:val="0004753E"/>
    <w:rsid w:val="00097CDA"/>
    <w:rsid w:val="000C153C"/>
    <w:rsid w:val="000C4025"/>
    <w:rsid w:val="000F3AB0"/>
    <w:rsid w:val="000F43CD"/>
    <w:rsid w:val="00102F0B"/>
    <w:rsid w:val="00105654"/>
    <w:rsid w:val="00141482"/>
    <w:rsid w:val="001426C7"/>
    <w:rsid w:val="0015188A"/>
    <w:rsid w:val="0015484D"/>
    <w:rsid w:val="001668E3"/>
    <w:rsid w:val="00196F99"/>
    <w:rsid w:val="001A34C4"/>
    <w:rsid w:val="001B4713"/>
    <w:rsid w:val="001C35F0"/>
    <w:rsid w:val="001D371F"/>
    <w:rsid w:val="00202BA1"/>
    <w:rsid w:val="00215DF9"/>
    <w:rsid w:val="00217EDE"/>
    <w:rsid w:val="0024308B"/>
    <w:rsid w:val="00243F1D"/>
    <w:rsid w:val="0026515D"/>
    <w:rsid w:val="00271D71"/>
    <w:rsid w:val="00282219"/>
    <w:rsid w:val="00291157"/>
    <w:rsid w:val="00297C29"/>
    <w:rsid w:val="002A045C"/>
    <w:rsid w:val="002B1BB2"/>
    <w:rsid w:val="002C13C3"/>
    <w:rsid w:val="002C6795"/>
    <w:rsid w:val="002D77D9"/>
    <w:rsid w:val="002D7A44"/>
    <w:rsid w:val="002E4785"/>
    <w:rsid w:val="002F207D"/>
    <w:rsid w:val="003168D4"/>
    <w:rsid w:val="00333E1E"/>
    <w:rsid w:val="003405C8"/>
    <w:rsid w:val="0036590E"/>
    <w:rsid w:val="0037528F"/>
    <w:rsid w:val="00387130"/>
    <w:rsid w:val="00393D8C"/>
    <w:rsid w:val="003A323F"/>
    <w:rsid w:val="003B30C9"/>
    <w:rsid w:val="003B6595"/>
    <w:rsid w:val="003E6855"/>
    <w:rsid w:val="003F20E0"/>
    <w:rsid w:val="00402AA3"/>
    <w:rsid w:val="00403C78"/>
    <w:rsid w:val="00416BA9"/>
    <w:rsid w:val="00417AE0"/>
    <w:rsid w:val="00424297"/>
    <w:rsid w:val="00435440"/>
    <w:rsid w:val="0044171E"/>
    <w:rsid w:val="004420B7"/>
    <w:rsid w:val="00446048"/>
    <w:rsid w:val="00451F65"/>
    <w:rsid w:val="00455012"/>
    <w:rsid w:val="00463159"/>
    <w:rsid w:val="00470A9D"/>
    <w:rsid w:val="004A1FC4"/>
    <w:rsid w:val="004B317B"/>
    <w:rsid w:val="004C1EF4"/>
    <w:rsid w:val="004D3344"/>
    <w:rsid w:val="004D569C"/>
    <w:rsid w:val="0051114E"/>
    <w:rsid w:val="00512C4C"/>
    <w:rsid w:val="00531A58"/>
    <w:rsid w:val="005351C3"/>
    <w:rsid w:val="005450B5"/>
    <w:rsid w:val="00551A0C"/>
    <w:rsid w:val="00554093"/>
    <w:rsid w:val="00582BF5"/>
    <w:rsid w:val="005A26BF"/>
    <w:rsid w:val="005B6909"/>
    <w:rsid w:val="005C7E03"/>
    <w:rsid w:val="005D13F0"/>
    <w:rsid w:val="005D4BAD"/>
    <w:rsid w:val="00604BFB"/>
    <w:rsid w:val="00651247"/>
    <w:rsid w:val="00653250"/>
    <w:rsid w:val="00670F02"/>
    <w:rsid w:val="006B7803"/>
    <w:rsid w:val="006B7BDF"/>
    <w:rsid w:val="006D2AEF"/>
    <w:rsid w:val="006D6430"/>
    <w:rsid w:val="00703F47"/>
    <w:rsid w:val="00711B3F"/>
    <w:rsid w:val="00715E72"/>
    <w:rsid w:val="00723F58"/>
    <w:rsid w:val="00730C60"/>
    <w:rsid w:val="0074545E"/>
    <w:rsid w:val="0075037C"/>
    <w:rsid w:val="0076766D"/>
    <w:rsid w:val="0077772D"/>
    <w:rsid w:val="00777CF3"/>
    <w:rsid w:val="007931DE"/>
    <w:rsid w:val="007A4563"/>
    <w:rsid w:val="007A57E3"/>
    <w:rsid w:val="007C0A19"/>
    <w:rsid w:val="007C61B7"/>
    <w:rsid w:val="00816914"/>
    <w:rsid w:val="00831633"/>
    <w:rsid w:val="008404EE"/>
    <w:rsid w:val="00895E82"/>
    <w:rsid w:val="008B53CF"/>
    <w:rsid w:val="008C5190"/>
    <w:rsid w:val="008D1D7A"/>
    <w:rsid w:val="008D7983"/>
    <w:rsid w:val="008E1774"/>
    <w:rsid w:val="008F4ED5"/>
    <w:rsid w:val="00906679"/>
    <w:rsid w:val="00921E3F"/>
    <w:rsid w:val="00924D89"/>
    <w:rsid w:val="00952A20"/>
    <w:rsid w:val="00962B6D"/>
    <w:rsid w:val="00963BB4"/>
    <w:rsid w:val="00971EAE"/>
    <w:rsid w:val="00975EE6"/>
    <w:rsid w:val="009A3D25"/>
    <w:rsid w:val="009B0617"/>
    <w:rsid w:val="009C1A10"/>
    <w:rsid w:val="009D10E8"/>
    <w:rsid w:val="009D65BD"/>
    <w:rsid w:val="009F7BDF"/>
    <w:rsid w:val="00A43962"/>
    <w:rsid w:val="00A52F69"/>
    <w:rsid w:val="00A66F74"/>
    <w:rsid w:val="00A94F59"/>
    <w:rsid w:val="00AA55B7"/>
    <w:rsid w:val="00AE7975"/>
    <w:rsid w:val="00B15E79"/>
    <w:rsid w:val="00B25C3B"/>
    <w:rsid w:val="00B27A62"/>
    <w:rsid w:val="00B30440"/>
    <w:rsid w:val="00B309A8"/>
    <w:rsid w:val="00B46B7B"/>
    <w:rsid w:val="00B52F2E"/>
    <w:rsid w:val="00B54547"/>
    <w:rsid w:val="00B66863"/>
    <w:rsid w:val="00B8257D"/>
    <w:rsid w:val="00B844EA"/>
    <w:rsid w:val="00BA207D"/>
    <w:rsid w:val="00BB44BD"/>
    <w:rsid w:val="00BB6194"/>
    <w:rsid w:val="00BB7A53"/>
    <w:rsid w:val="00C17BEE"/>
    <w:rsid w:val="00C34C3C"/>
    <w:rsid w:val="00C41F80"/>
    <w:rsid w:val="00C44B9C"/>
    <w:rsid w:val="00C85609"/>
    <w:rsid w:val="00C921A2"/>
    <w:rsid w:val="00CA56AD"/>
    <w:rsid w:val="00CB1448"/>
    <w:rsid w:val="00CC0612"/>
    <w:rsid w:val="00CC19C7"/>
    <w:rsid w:val="00CD1289"/>
    <w:rsid w:val="00CD52E4"/>
    <w:rsid w:val="00CE23FA"/>
    <w:rsid w:val="00CF63C4"/>
    <w:rsid w:val="00D018C9"/>
    <w:rsid w:val="00D0522E"/>
    <w:rsid w:val="00D338CA"/>
    <w:rsid w:val="00D41F94"/>
    <w:rsid w:val="00D61309"/>
    <w:rsid w:val="00D73688"/>
    <w:rsid w:val="00D7549F"/>
    <w:rsid w:val="00D77E57"/>
    <w:rsid w:val="00D81F9F"/>
    <w:rsid w:val="00D87B52"/>
    <w:rsid w:val="00DA2ED8"/>
    <w:rsid w:val="00DA790D"/>
    <w:rsid w:val="00DB4CF3"/>
    <w:rsid w:val="00DB5B9B"/>
    <w:rsid w:val="00DD0DC8"/>
    <w:rsid w:val="00DE201A"/>
    <w:rsid w:val="00DE620B"/>
    <w:rsid w:val="00DF3E49"/>
    <w:rsid w:val="00DF5290"/>
    <w:rsid w:val="00E6041A"/>
    <w:rsid w:val="00E83DD7"/>
    <w:rsid w:val="00E9591C"/>
    <w:rsid w:val="00EA26EC"/>
    <w:rsid w:val="00EB1D30"/>
    <w:rsid w:val="00EC5B3C"/>
    <w:rsid w:val="00EC6E68"/>
    <w:rsid w:val="00EC7CC5"/>
    <w:rsid w:val="00ED5549"/>
    <w:rsid w:val="00EE35FD"/>
    <w:rsid w:val="00EE6046"/>
    <w:rsid w:val="00EF2A76"/>
    <w:rsid w:val="00EF6255"/>
    <w:rsid w:val="00F01996"/>
    <w:rsid w:val="00F213F0"/>
    <w:rsid w:val="00F4277F"/>
    <w:rsid w:val="00F46CE2"/>
    <w:rsid w:val="00F63742"/>
    <w:rsid w:val="00FA7693"/>
    <w:rsid w:val="00FD0EE7"/>
    <w:rsid w:val="00FD50E0"/>
    <w:rsid w:val="00FE3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pt-BR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pt-BR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C402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C402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C4025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C402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C4025"/>
    <w:rPr>
      <w:rFonts w:ascii="Noto Sans" w:hAnsi="Noto Sans"/>
      <w:b/>
      <w:bCs/>
      <w:sz w:val="20"/>
      <w:szCs w:val="20"/>
    </w:rPr>
  </w:style>
  <w:style w:type="character" w:customStyle="1" w:styleId="cf01">
    <w:name w:val="cf01"/>
    <w:basedOn w:val="Absatz-Standardschriftart"/>
    <w:rsid w:val="009A3D25"/>
    <w:rPr>
      <w:rFonts w:ascii="Segoe UI" w:hAnsi="Segoe UI" w:cs="Segoe UI" w:hint="default"/>
      <w:sz w:val="18"/>
      <w:szCs w:val="18"/>
    </w:rPr>
  </w:style>
  <w:style w:type="paragraph" w:styleId="berarbeitung">
    <w:name w:val="Revision"/>
    <w:hidden/>
    <w:uiPriority w:val="99"/>
    <w:semiHidden/>
    <w:rsid w:val="00EE6046"/>
    <w:pPr>
      <w:spacing w:after="0" w:line="240" w:lineRule="auto"/>
    </w:pPr>
    <w:rPr>
      <w:rFonts w:ascii="Noto Sans" w:hAnsi="Noto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1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9056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79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76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381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15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973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63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mailto:bitencourt.thais@fronius.co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customXml" Target="../customXml/item2.xml"/><Relationship Id="rId7" Type="http://schemas.openxmlformats.org/officeDocument/2006/relationships/hyperlink" Target="https://solar.htw-berlin.de/studien/stromspeicher-inspektion-2023/" TargetMode="External"/><Relationship Id="rId12" Type="http://schemas.openxmlformats.org/officeDocument/2006/relationships/hyperlink" Target="mailto:gonzalez.laura@fronius.com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chartner.andrea@fronius.com" TargetMode="External"/><Relationship Id="rId24" Type="http://schemas.openxmlformats.org/officeDocument/2006/relationships/customXml" Target="../customXml/item5.xml"/><Relationship Id="rId5" Type="http://schemas.openxmlformats.org/officeDocument/2006/relationships/footnotes" Target="footnotes.xml"/><Relationship Id="rId15" Type="http://schemas.openxmlformats.org/officeDocument/2006/relationships/hyperlink" Target="mailto:cancellation@fronius.com" TargetMode="External"/><Relationship Id="rId23" Type="http://schemas.openxmlformats.org/officeDocument/2006/relationships/customXml" Target="../customXml/item4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mailto:rke@a1kommunikation.de" TargetMode="External"/><Relationship Id="rId22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Stromspeicherinspektion 2023/02</title_TI_DE>
    <title_TI_NO xmlns="dc0c2c3d-e9fc-4a0d-820b-87ab82e65f20">Pressrelease Energy storage inspection 2023/02 PB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Pressrelease Energy storage inspection 2023/02 PB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Pressrelease Energy storage inspection 2023/02 PB</title_TI_TH>
    <Licence_x0020_information xmlns="dc0c2c3d-e9fc-4a0d-820b-87ab82e65f20">(c) Fronius International</Licence_x0020_information>
    <title_TI_EA xmlns="dc0c2c3d-e9fc-4a0d-820b-87ab82e65f20">Pressrelease Energy storage inspection 2023/02 PB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#PT</TermName>
          <TermId xmlns="http://schemas.microsoft.com/office/infopath/2007/PartnerControls">09001fa6-1193-42f9-b106-6c6015fe3ec4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Pressrelease Energy storage inspection 2023/02 PB</title_TI_DA>
    <Documenttype_TR xmlns="dc0c2c3d-e9fc-4a0d-820b-87ab82e65f20">Basın bülteni</Documenttype_TR>
    <title_TI_PL xmlns="dc0c2c3d-e9fc-4a0d-820b-87ab82e65f20">Pressrelease Energy storage inspection 2023/02 PB</title_TI_PL>
    <Documenttype_TH xmlns="dc0c2c3d-e9fc-4a0d-820b-87ab82e65f20">ข่าวประชาสัมพันธ์</Documenttype_TH>
    <title_TI_EL xmlns="dc0c2c3d-e9fc-4a0d-820b-87ab82e65f20">Pressrelease Energy storage inspection 2023/02 PB</title_TI_EL>
    <Documenttype_EA xmlns="dc0c2c3d-e9fc-4a0d-820b-87ab82e65f20">Press Release</Documenttype_EA>
    <Web_x0020_Display_x0020_Title_x0020_ET xmlns="dc0c2c3d-e9fc-4a0d-820b-87ab82e65f20">Pressrelease Energy storage inspection 2023/02 PB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Pressrelease Energy storage inspection 2023/02 PB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Pressrelease Energy storage inspection 2023/02 PB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C-138971</FileMaster>
    <title_TI_NL xmlns="dc0c2c3d-e9fc-4a0d-820b-87ab82e65f20">Pressrelease Energy storage inspection 2023/02 PB</title_TI_NL>
    <contentservId xmlns="c4543867-fb67-4424-a255-4d54d75e50e3">C-138978</contentservId>
    <title_TI_IT xmlns="dc0c2c3d-e9fc-4a0d-820b-87ab82e65f20">Pressrelease Energy storage inspection 2023/02 PB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Pressrelease Energy storage inspection 2023/02 PB</title_TI_UA>
    <title_TI_JP xmlns="dc0c2c3d-e9fc-4a0d-820b-87ab82e65f20">Pressrelease Energy storage inspection 2023/02 PB</title_TI_JP>
    <Documenttype_NL xmlns="dc0c2c3d-e9fc-4a0d-820b-87ab82e65f20">Persbericht</Documenttype_NL>
    <title_TI_RO xmlns="dc0c2c3d-e9fc-4a0d-820b-87ab82e65f20">Pressrelease Energy storage inspection 2023/02 PB</title_TI_RO>
    <Documenttype_NB xmlns="c4543867-fb67-4424-a255-4d54d75e50e3">Presseinformasjon</Documenttype_NB>
    <title_ti_nb xmlns="dc0c2c3d-e9fc-4a0d-820b-87ab82e65f20" xsi:nil="true"/>
    <title_TI_ES xmlns="dc0c2c3d-e9fc-4a0d-820b-87ab82e65f20">Pressrelease Energy storage inspection 2023/02 PB</title_TI_ES>
    <title_TI_JA xmlns="dc0c2c3d-e9fc-4a0d-820b-87ab82e65f20">Pressrelease Energy storage inspection 2023/02 PB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1</Value>
      <Value>264</Value>
    </TaxCatchAll>
    <AGB xmlns="dc0c2c3d-e9fc-4a0d-820b-87ab82e65f20">false</AGB>
    <title_TI_EN xmlns="dc0c2c3d-e9fc-4a0d-820b-87ab82e65f20">Pressrelease Energy storage inspection 2023/02 PB</title_TI_EN>
    <MRMKeyWords xmlns="dc0c2c3d-e9fc-4a0d-820b-87ab82e65f20">#Presse#Solar Energy#Symo#Primo#Presseaussendung#Fronius#Unternehmen#GEN24#GEN24 Plus#Stromspeicherinspektion#Gewinner#press#press release#Company#Energy Storage Inspection#Winner#</MRMKeyWords>
    <title_ti_zh xmlns="dc0c2c3d-e9fc-4a0d-820b-87ab82e65f20">Pressrelease Energy storage inspection 2023/02 PB</title_ti_zh>
    <MRMID xmlns="dc0c2c3d-e9fc-4a0d-820b-87ab82e65f20">M-200492</MRMID>
    <Documenttype_UK xmlns="c4543867-fb67-4424-a255-4d54d75e50e3">Прес-релізи</Documenttype_UK>
    <title_TI_SK xmlns="dc0c2c3d-e9fc-4a0d-820b-87ab82e65f20">Pressrelease Energy storage inspection 2023/02 PB</title_TI_SK>
    <Documenttype_UA xmlns="dc0c2c3d-e9fc-4a0d-820b-87ab82e65f20">Прес-релізи</Documenttype_UA>
    <title_TI_HU xmlns="dc0c2c3d-e9fc-4a0d-820b-87ab82e65f20">Pressrelease Energy storage inspection 2023/02 PB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Pressrelease Energy storage inspection 2023/02 PB</title_TI_PT>
    <title_ti_fi xmlns="dc0c2c3d-e9fc-4a0d-820b-87ab82e65f20">Pressrelease Energy storage inspection 2023/02 PB</title_ti_fi>
    <Country xmlns="dc0c2c3d-e9fc-4a0d-820b-87ab82e65f20">
      <Value>8</Value>
      <Value>32</Value>
    </Country>
    <fro_spid xmlns="dc0c2c3d-e9fc-4a0d-820b-87ab82e65f20">9259;SE</fro_spid>
    <title_TI_RU xmlns="dc0c2c3d-e9fc-4a0d-820b-87ab82e65f20">Pressrelease Energy storage inspection 2023/02 PB</title_TI_RU>
    <Documenttype_JA xmlns="dc0c2c3d-e9fc-4a0d-820b-87ab82e65f20">ニュースリリース</Documenttype_JA>
    <Colour_x0020_space xmlns="dc0c2c3d-e9fc-4a0d-820b-87ab82e65f20" xsi:nil="true"/>
    <title_TI_CS xmlns="dc0c2c3d-e9fc-4a0d-820b-87ab82e65f20">Pressrelease Energy storage inspection 2023/02 PB</title_TI_CS>
    <title_TI_AR xmlns="dc0c2c3d-e9fc-4a0d-820b-87ab82e65f20">Pressrelease Energy storage inspection 2023/02 PB</title_TI_A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</documentManagement>
</p:properties>
</file>

<file path=customXml/itemProps1.xml><?xml version="1.0" encoding="utf-8"?>
<ds:datastoreItem xmlns:ds="http://schemas.openxmlformats.org/officeDocument/2006/customXml" ds:itemID="{8A88A69F-A31F-44D6-9C6D-BADA76BCB1AC}"/>
</file>

<file path=customXml/itemProps2.xml><?xml version="1.0" encoding="utf-8"?>
<ds:datastoreItem xmlns:ds="http://schemas.openxmlformats.org/officeDocument/2006/customXml" ds:itemID="{8EDFA71A-29B9-4F9F-B0C3-483071A69480}"/>
</file>

<file path=customXml/itemProps3.xml><?xml version="1.0" encoding="utf-8"?>
<ds:datastoreItem xmlns:ds="http://schemas.openxmlformats.org/officeDocument/2006/customXml" ds:itemID="{0664042E-2411-4173-9E5F-C018B77CB37C}"/>
</file>

<file path=customXml/itemProps4.xml><?xml version="1.0" encoding="utf-8"?>
<ds:datastoreItem xmlns:ds="http://schemas.openxmlformats.org/officeDocument/2006/customXml" ds:itemID="{B05F7137-B7BE-47D5-B7DA-ABD74E853BE6}"/>
</file>

<file path=customXml/itemProps5.xml><?xml version="1.0" encoding="utf-8"?>
<ds:datastoreItem xmlns:ds="http://schemas.openxmlformats.org/officeDocument/2006/customXml" ds:itemID="{8BE14099-87A3-4ACE-94D6-CA9293FCFE3D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4</Pages>
  <Words>858</Words>
  <Characters>5408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SE_PR_Fronius_again_earns_top_rankings_2023_PB</dc:title>
  <dc:subject/>
  <dc:creator>Kneringer Daniel</dc:creator>
  <cp:keywords/>
  <dc:description/>
  <cp:lastModifiedBy>Majetic Kristina</cp:lastModifiedBy>
  <cp:revision>16</cp:revision>
  <cp:lastPrinted>2023-02-08T14:27:00Z</cp:lastPrinted>
  <dcterms:created xsi:type="dcterms:W3CDTF">2023-02-15T07:15:00Z</dcterms:created>
  <dcterms:modified xsi:type="dcterms:W3CDTF">2023-03-06T10:35:00Z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Market Segmentation">
    <vt:lpwstr/>
  </property>
  <property fmtid="{D5CDD505-2E9C-101B-9397-08002B2CF9AE}" pid="6" name="Service Levels TIM-RS">
    <vt:lpwstr/>
  </property>
  <property fmtid="{D5CDD505-2E9C-101B-9397-08002B2CF9AE}" pid="7" name="Products">
    <vt:lpwstr/>
  </property>
  <property fmtid="{D5CDD505-2E9C-101B-9397-08002B2CF9AE}" pid="8" name="fro_PartnerRoles">
    <vt:lpwstr/>
  </property>
  <property fmtid="{D5CDD505-2E9C-101B-9397-08002B2CF9AE}" pid="9" name="db07a75696b94569b570813d345bcf82">
    <vt:lpwstr/>
  </property>
  <property fmtid="{D5CDD505-2E9C-101B-9397-08002B2CF9AE}" pid="10" name="Language">
    <vt:lpwstr>264;##PT|09001fa6-1193-42f9-b106-6c6015fe3ec4</vt:lpwstr>
  </property>
  <property fmtid="{D5CDD505-2E9C-101B-9397-08002B2CF9AE}" pid="11" name="FroConDoc_language">
    <vt:lpwstr>1;#DE|676160ea-61f7-4cef-8b4c-1724dec2206e</vt:lpwstr>
  </property>
</Properties>
</file>