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4A0619" w:rsidRDefault="00ED5549" w:rsidP="00604BFB">
      <w:pPr>
        <w:jc w:val="both"/>
        <w:rPr>
          <w:sz w:val="20"/>
          <w:szCs w:val="20"/>
          <w:lang w:val="en-US"/>
        </w:rPr>
      </w:pPr>
    </w:p>
    <w:p w14:paraId="687BC23B" w14:textId="77777777" w:rsidR="00ED5549" w:rsidRPr="004A0619" w:rsidRDefault="00ED5549" w:rsidP="00604BFB">
      <w:pPr>
        <w:jc w:val="both"/>
        <w:rPr>
          <w:sz w:val="20"/>
          <w:szCs w:val="20"/>
          <w:lang w:val="en-US"/>
        </w:rPr>
      </w:pPr>
    </w:p>
    <w:p w14:paraId="64EAFB9B" w14:textId="273A2B2D" w:rsidR="002D7A44" w:rsidRPr="004A0619" w:rsidRDefault="00ED5549" w:rsidP="00604BFB">
      <w:pPr>
        <w:pStyle w:val="berschrift1"/>
        <w:jc w:val="both"/>
      </w:pPr>
      <w:r w:rsidRPr="004A0619">
        <w:t>Tisková zpráva</w:t>
      </w:r>
    </w:p>
    <w:p w14:paraId="07CB8F03" w14:textId="06F6FC04" w:rsidR="00ED5549" w:rsidRPr="004A0619" w:rsidRDefault="0051114E" w:rsidP="00604BFB">
      <w:pPr>
        <w:jc w:val="both"/>
      </w:pPr>
      <w:r w:rsidRPr="004A0619">
        <w:rPr>
          <w:sz w:val="20"/>
        </w:rPr>
        <w:t>Solar Energy</w:t>
      </w:r>
    </w:p>
    <w:p w14:paraId="3EF5C6DD" w14:textId="6608F6CF" w:rsidR="00ED5549" w:rsidRPr="004A0619" w:rsidRDefault="00ED5549" w:rsidP="00604BFB">
      <w:pPr>
        <w:jc w:val="both"/>
        <w:rPr>
          <w:sz w:val="20"/>
          <w:szCs w:val="20"/>
        </w:rPr>
      </w:pPr>
    </w:p>
    <w:p w14:paraId="00F13E77" w14:textId="77777777" w:rsidR="00E83DD7" w:rsidRPr="004A0619" w:rsidRDefault="00E83DD7" w:rsidP="00604BFB">
      <w:pPr>
        <w:jc w:val="both"/>
        <w:rPr>
          <w:sz w:val="20"/>
          <w:szCs w:val="20"/>
        </w:rPr>
      </w:pPr>
    </w:p>
    <w:p w14:paraId="4F8F137E" w14:textId="7A552F0F" w:rsidR="006D6430" w:rsidRPr="004A0619" w:rsidRDefault="005D4BAD" w:rsidP="00604BFB">
      <w:pPr>
        <w:pStyle w:val="HeadlineGreen"/>
        <w:jc w:val="both"/>
        <w:rPr>
          <w:color w:val="auto"/>
          <w:sz w:val="22"/>
          <w:szCs w:val="20"/>
        </w:rPr>
      </w:pPr>
      <w:r w:rsidRPr="004A0619">
        <w:rPr>
          <w:color w:val="auto"/>
          <w:sz w:val="22"/>
        </w:rPr>
        <w:t>Srovnávací testy akumulátorů 2023</w:t>
      </w:r>
    </w:p>
    <w:p w14:paraId="726FD8A5" w14:textId="11AD25F9" w:rsidR="002D7A44" w:rsidRPr="004A0619" w:rsidRDefault="00D41F94" w:rsidP="00604BFB">
      <w:pPr>
        <w:pStyle w:val="berschrift2"/>
        <w:jc w:val="both"/>
        <w:rPr>
          <w:color w:val="auto"/>
          <w:sz w:val="32"/>
          <w:szCs w:val="28"/>
        </w:rPr>
      </w:pPr>
      <w:r w:rsidRPr="004A0619">
        <w:rPr>
          <w:color w:val="auto"/>
          <w:sz w:val="32"/>
        </w:rPr>
        <w:t>Společnost Fronius se opět umístila na předních místech</w:t>
      </w:r>
    </w:p>
    <w:p w14:paraId="2CC4F935" w14:textId="77777777" w:rsidR="00ED5549" w:rsidRPr="004A0619" w:rsidRDefault="00ED5549" w:rsidP="00604BFB">
      <w:pPr>
        <w:jc w:val="both"/>
        <w:rPr>
          <w:sz w:val="20"/>
          <w:szCs w:val="20"/>
        </w:rPr>
      </w:pPr>
    </w:p>
    <w:p w14:paraId="47D72435" w14:textId="0E542D0A" w:rsidR="001668E3" w:rsidRPr="004A0619" w:rsidRDefault="00ED5549" w:rsidP="00DB4CF3">
      <w:pPr>
        <w:jc w:val="both"/>
        <w:rPr>
          <w:sz w:val="24"/>
          <w:szCs w:val="24"/>
        </w:rPr>
      </w:pPr>
      <w:r w:rsidRPr="004A0619">
        <w:rPr>
          <w:sz w:val="24"/>
        </w:rPr>
        <w:t xml:space="preserve">(Wels, </w:t>
      </w:r>
      <w:r w:rsidR="0091333B">
        <w:rPr>
          <w:sz w:val="24"/>
        </w:rPr>
        <w:t>07</w:t>
      </w:r>
      <w:r w:rsidRPr="004A0619">
        <w:rPr>
          <w:sz w:val="24"/>
        </w:rPr>
        <w:t>.0</w:t>
      </w:r>
      <w:r w:rsidR="0091333B">
        <w:rPr>
          <w:sz w:val="24"/>
        </w:rPr>
        <w:t>3</w:t>
      </w:r>
      <w:r w:rsidRPr="004A0619">
        <w:rPr>
          <w:sz w:val="24"/>
        </w:rPr>
        <w:t>.2023) Při ročních srovnávacích testech akumulátorů prováděných Vysokou školou technickou a ekonomickou (HTW) v Berlíně se společnost Fronius opět umístila na předních příčkách, a to díky vysoké účinnosti systému. V referenčním případě 5 kW byl oceněn střídač Fronius Primo GEN24 6.0 Plus a v referenčním případě 10 kW střídač Fronius Symo GEN24 10.0 Plus. Společnost Fronius navíc jako jeden ze dvou výrobců znovu dosáhla s oběma výrobky třídy energetické účinnosti A.</w:t>
      </w:r>
    </w:p>
    <w:p w14:paraId="2394DF3F" w14:textId="77777777" w:rsidR="003E6855" w:rsidRPr="004A0619" w:rsidRDefault="003E6855" w:rsidP="00604BFB">
      <w:pPr>
        <w:jc w:val="both"/>
        <w:rPr>
          <w:sz w:val="20"/>
          <w:szCs w:val="20"/>
        </w:rPr>
      </w:pPr>
    </w:p>
    <w:p w14:paraId="7CA4E74B" w14:textId="76602899" w:rsidR="00653250" w:rsidRPr="004A0619" w:rsidRDefault="00D87B52" w:rsidP="00D87B52">
      <w:pPr>
        <w:jc w:val="both"/>
        <w:rPr>
          <w:sz w:val="20"/>
          <w:szCs w:val="20"/>
        </w:rPr>
      </w:pPr>
      <w:r w:rsidRPr="004A0619">
        <w:rPr>
          <w:sz w:val="20"/>
        </w:rPr>
        <w:t xml:space="preserve">Srovnávací testy akumulátorů prováděné vysokou školou HTW Berlín jsou studií, v rámci které nezávislé instituty každoročně provádějí celoplošné porovnání fotovoltaických akumulátorových systémů určených pro domácnosti. V letošním roce se utkalo 18 akumulátorových systémů, ohodnocených indexem SPI (System Performance Index), od 11 výrobců. Toto nezávislé hodnocení poskytuje instalačním firmám a koncovým zákazníkům dobrou referenci pro hledání energeticky efektivních řešení ukládání energie. A výsledky rozhodně stojí za povšimnutí: vysoká účinnost systému znamená menší energetické ztráty, a ty zase vedou k vyšším výnosům a k rychlejší amortizaci. </w:t>
      </w:r>
    </w:p>
    <w:p w14:paraId="74676A41" w14:textId="745DF602" w:rsidR="00653250" w:rsidRPr="004A0619" w:rsidRDefault="00653250" w:rsidP="00653250">
      <w:pPr>
        <w:jc w:val="both"/>
        <w:rPr>
          <w:sz w:val="20"/>
          <w:szCs w:val="20"/>
        </w:rPr>
      </w:pPr>
      <w:r w:rsidRPr="004A0619">
        <w:rPr>
          <w:i/>
          <w:sz w:val="20"/>
        </w:rPr>
        <w:t>„Přinášíme slunce do životů našich zákazníků. O tom jsme se mohli opět přesvědčit při srovnávacích testech akumulátorů. Hybridní střídače Fronius GEN24 Plus dokonale realizují naši vizi 24 hodin slunce. Energii vyrobenou ve dne umožňují s maximální účinností převádět do noci, čímž optimálně využívají dostupné zdroje. To je nezbytné pro zajištění skutečné udržitelnosti. Dosahovat tohoto výsledku se nám daří díky důsledné práci na LCA (Life Cycle Assessment),“</w:t>
      </w:r>
      <w:r w:rsidRPr="004A0619">
        <w:rPr>
          <w:sz w:val="20"/>
        </w:rPr>
        <w:t xml:space="preserve"> říká Martin Hackl, Global Director obchodní jednotky Solar Energy, Fronius International GmbH.</w:t>
      </w:r>
    </w:p>
    <w:p w14:paraId="3E643806" w14:textId="4254883F" w:rsidR="00653250" w:rsidRPr="004A0619" w:rsidRDefault="00924D89" w:rsidP="00653250">
      <w:pPr>
        <w:pStyle w:val="berschrift4"/>
      </w:pPr>
      <w:r w:rsidRPr="004A0619">
        <w:t>Další zlepšení výsledků</w:t>
      </w:r>
    </w:p>
    <w:p w14:paraId="25C61FAA" w14:textId="136E887B" w:rsidR="00653250" w:rsidRPr="004A0619" w:rsidRDefault="000F3AB0" w:rsidP="00653250">
      <w:pPr>
        <w:jc w:val="both"/>
        <w:rPr>
          <w:sz w:val="20"/>
          <w:szCs w:val="20"/>
        </w:rPr>
      </w:pPr>
      <w:r w:rsidRPr="004A0619">
        <w:rPr>
          <w:sz w:val="20"/>
        </w:rPr>
        <w:t>V referenčním případě 5 kW dosáhl střídač Primo GEN24 6.0 Plus společně s akumulátorem BYD Battery-Box Premium HVS 7.7 indexu SPI 92,6 procent. V referenčním případě 10 kW se střídač Symo GEN24 10.0 Plus s akumulátorem BYD Battery-Box Premium HVS 10.2 dostal na hodnotu indexu SPI 95,4 procent. „</w:t>
      </w:r>
      <w:r w:rsidRPr="004A0619">
        <w:rPr>
          <w:i/>
          <w:sz w:val="20"/>
        </w:rPr>
        <w:t>V obou případech jsme si oproti předchozímu roku dokonce zlepšili,“</w:t>
      </w:r>
      <w:r w:rsidRPr="004A0619">
        <w:rPr>
          <w:sz w:val="20"/>
        </w:rPr>
        <w:t xml:space="preserve"> hrdě vysvětluje Susanne Lampl, produktová manažerka, Fronius International GmbH. </w:t>
      </w:r>
    </w:p>
    <w:p w14:paraId="01354A13" w14:textId="77777777" w:rsidR="00653250" w:rsidRPr="004A0619" w:rsidRDefault="00653250" w:rsidP="00D87B52">
      <w:pPr>
        <w:jc w:val="both"/>
        <w:rPr>
          <w:sz w:val="20"/>
          <w:szCs w:val="20"/>
        </w:rPr>
      </w:pPr>
    </w:p>
    <w:p w14:paraId="317A39D8" w14:textId="1453ACEF" w:rsidR="00D87B52" w:rsidRPr="004A0619" w:rsidRDefault="00D87B52" w:rsidP="00D87B52">
      <w:pPr>
        <w:pStyle w:val="berschrift4"/>
      </w:pPr>
      <w:r w:rsidRPr="004A0619">
        <w:lastRenderedPageBreak/>
        <w:t>Faktor úspěchu Multi Flow Technology</w:t>
      </w:r>
    </w:p>
    <w:p w14:paraId="6D933CEC" w14:textId="5250A820" w:rsidR="00D34BDA" w:rsidRDefault="00D87B52" w:rsidP="00D34BDA">
      <w:pPr>
        <w:jc w:val="both"/>
        <w:rPr>
          <w:sz w:val="20"/>
          <w:szCs w:val="20"/>
        </w:rPr>
      </w:pPr>
      <w:r w:rsidRPr="004A0619">
        <w:rPr>
          <w:sz w:val="20"/>
        </w:rPr>
        <w:t xml:space="preserve">Multi Flow Technology, která umožňuje inteligentní management toků energie a je rozhodujícím faktorem úspěchu, dokáže zajišťovat nejen simultánní energetické toky všemi směry, ale také stejnosměrné i střídavé připojení akumulátorového úložiště. Základem je výkonová elektronika. Použitím výkonových polovodičů na bázi karbidu křemíku lze dosáhnout velmi vysoké účinnosti přeměny, a to i při nízkém vytížení několika set wattů. </w:t>
      </w:r>
    </w:p>
    <w:p w14:paraId="7B4EC450" w14:textId="77777777" w:rsidR="0091333B" w:rsidRPr="004A0619" w:rsidRDefault="0091333B" w:rsidP="00D34BDA">
      <w:pPr>
        <w:jc w:val="both"/>
        <w:rPr>
          <w:sz w:val="20"/>
          <w:szCs w:val="20"/>
        </w:rPr>
      </w:pPr>
    </w:p>
    <w:p w14:paraId="4DA7FFF4" w14:textId="32BE57A9" w:rsidR="00952A20" w:rsidRDefault="00952A20" w:rsidP="00952A20">
      <w:pPr>
        <w:rPr>
          <w:rStyle w:val="Hyperlink"/>
        </w:rPr>
      </w:pPr>
      <w:r w:rsidRPr="004A0619">
        <w:rPr>
          <w:sz w:val="20"/>
        </w:rPr>
        <w:t xml:space="preserve">Veškeré informace o srovnávacích testech akumulátorů najdete na adrese: </w:t>
      </w:r>
      <w:hyperlink r:id="rId7" w:history="1">
        <w:r w:rsidR="0091333B" w:rsidRPr="009A5489">
          <w:rPr>
            <w:rStyle w:val="Hyperlink"/>
          </w:rPr>
          <w:t>https://solar.htw-berlin.de/studien/stromspeicher-inspektion-2023/</w:t>
        </w:r>
      </w:hyperlink>
    </w:p>
    <w:p w14:paraId="4B35CF0D" w14:textId="77777777" w:rsidR="0091333B" w:rsidRPr="004A0619" w:rsidRDefault="0091333B" w:rsidP="00952A20">
      <w:pPr>
        <w:rPr>
          <w:sz w:val="20"/>
          <w:szCs w:val="20"/>
        </w:rPr>
      </w:pPr>
    </w:p>
    <w:p w14:paraId="367F5336" w14:textId="77777777" w:rsidR="00952A20" w:rsidRPr="004A0619" w:rsidRDefault="00952A20" w:rsidP="0044171E">
      <w:pPr>
        <w:spacing w:before="40" w:after="40"/>
        <w:jc w:val="both"/>
        <w:rPr>
          <w:sz w:val="20"/>
          <w:szCs w:val="20"/>
        </w:rPr>
      </w:pPr>
    </w:p>
    <w:p w14:paraId="39701604" w14:textId="38FA693C" w:rsidR="0044171E" w:rsidRPr="004A0619" w:rsidRDefault="0044171E" w:rsidP="0044171E">
      <w:pPr>
        <w:spacing w:before="40" w:after="40"/>
        <w:jc w:val="both"/>
        <w:rPr>
          <w:sz w:val="20"/>
          <w:szCs w:val="20"/>
        </w:rPr>
      </w:pPr>
      <w:r w:rsidRPr="004A0619">
        <w:rPr>
          <w:sz w:val="20"/>
        </w:rPr>
        <w:t xml:space="preserve">Slov: </w:t>
      </w:r>
      <w:r w:rsidR="0091333B">
        <w:rPr>
          <w:sz w:val="20"/>
        </w:rPr>
        <w:t>373</w:t>
      </w:r>
    </w:p>
    <w:p w14:paraId="1C097BA3" w14:textId="6EEE3BE7" w:rsidR="0044171E" w:rsidRPr="004A0619" w:rsidRDefault="0044171E" w:rsidP="0044171E">
      <w:pPr>
        <w:spacing w:before="40" w:after="40"/>
        <w:jc w:val="both"/>
        <w:rPr>
          <w:sz w:val="20"/>
          <w:szCs w:val="20"/>
        </w:rPr>
      </w:pPr>
      <w:r w:rsidRPr="004A0619">
        <w:rPr>
          <w:sz w:val="20"/>
        </w:rPr>
        <w:t xml:space="preserve">Znaků: </w:t>
      </w:r>
      <w:r w:rsidR="0091333B">
        <w:rPr>
          <w:sz w:val="20"/>
        </w:rPr>
        <w:t xml:space="preserve">2 741 </w:t>
      </w:r>
      <w:r w:rsidRPr="004A0619">
        <w:rPr>
          <w:sz w:val="20"/>
        </w:rPr>
        <w:t>(s mezerami)</w:t>
      </w:r>
    </w:p>
    <w:p w14:paraId="27EFE6A5" w14:textId="77777777" w:rsidR="0044171E" w:rsidRPr="004A0619" w:rsidRDefault="0044171E" w:rsidP="00604BFB">
      <w:pPr>
        <w:jc w:val="both"/>
        <w:rPr>
          <w:sz w:val="20"/>
          <w:szCs w:val="20"/>
        </w:rPr>
      </w:pPr>
    </w:p>
    <w:p w14:paraId="7EC534EB" w14:textId="78A06791" w:rsidR="00B8257D" w:rsidRPr="004A0619" w:rsidRDefault="00B8257D" w:rsidP="00604BFB">
      <w:pPr>
        <w:pStyle w:val="berschrift4"/>
        <w:jc w:val="both"/>
        <w:rPr>
          <w:sz w:val="20"/>
          <w:szCs w:val="20"/>
        </w:rPr>
      </w:pPr>
      <w:r w:rsidRPr="004A0619">
        <w:rPr>
          <w:sz w:val="20"/>
        </w:rPr>
        <w:t>Přehled obrazového materiálu</w:t>
      </w:r>
    </w:p>
    <w:p w14:paraId="5B350428" w14:textId="2511494D" w:rsidR="00952A20" w:rsidRPr="004A0619" w:rsidRDefault="0091333B" w:rsidP="00952A20">
      <w:pPr>
        <w:jc w:val="both"/>
        <w:rPr>
          <w:sz w:val="18"/>
          <w:szCs w:val="18"/>
        </w:rPr>
      </w:pPr>
      <w:r>
        <w:rPr>
          <w:noProof/>
          <w:sz w:val="18"/>
          <w:szCs w:val="18"/>
        </w:rPr>
        <w:drawing>
          <wp:anchor distT="0" distB="0" distL="114300" distR="114300" simplePos="0" relativeHeight="251662336" behindDoc="1" locked="0" layoutInCell="1" allowOverlap="1" wp14:anchorId="2335E84A" wp14:editId="661D2623">
            <wp:simplePos x="0" y="0"/>
            <wp:positionH relativeFrom="margin">
              <wp:posOffset>0</wp:posOffset>
            </wp:positionH>
            <wp:positionV relativeFrom="paragraph">
              <wp:posOffset>266700</wp:posOffset>
            </wp:positionV>
            <wp:extent cx="2611959" cy="1841500"/>
            <wp:effectExtent l="0" t="0" r="0" b="6350"/>
            <wp:wrapTight wrapText="bothSides">
              <wp:wrapPolygon edited="0">
                <wp:start x="0" y="0"/>
                <wp:lineTo x="0" y="21451"/>
                <wp:lineTo x="21427" y="21451"/>
                <wp:lineTo x="21427" y="0"/>
                <wp:lineTo x="0" y="0"/>
              </wp:wrapPolygon>
            </wp:wrapTight>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11959" cy="1841500"/>
                    </a:xfrm>
                    <a:prstGeom prst="rect">
                      <a:avLst/>
                    </a:prstGeom>
                  </pic:spPr>
                </pic:pic>
              </a:graphicData>
            </a:graphic>
          </wp:anchor>
        </w:drawing>
      </w:r>
    </w:p>
    <w:p w14:paraId="1BED536B" w14:textId="77777777" w:rsidR="00952A20" w:rsidRPr="004A0619" w:rsidRDefault="00952A20" w:rsidP="00952A20">
      <w:pPr>
        <w:jc w:val="both"/>
        <w:rPr>
          <w:sz w:val="18"/>
          <w:szCs w:val="18"/>
        </w:rPr>
      </w:pPr>
    </w:p>
    <w:p w14:paraId="7AA5DE06" w14:textId="77777777" w:rsidR="00952A20" w:rsidRPr="004A0619" w:rsidRDefault="00952A20" w:rsidP="00952A20">
      <w:pPr>
        <w:jc w:val="both"/>
        <w:rPr>
          <w:sz w:val="18"/>
          <w:szCs w:val="18"/>
        </w:rPr>
      </w:pPr>
    </w:p>
    <w:p w14:paraId="67A79752" w14:textId="77777777" w:rsidR="00952A20" w:rsidRPr="004A0619" w:rsidRDefault="00952A20" w:rsidP="00952A20">
      <w:pPr>
        <w:jc w:val="both"/>
        <w:rPr>
          <w:sz w:val="18"/>
          <w:szCs w:val="18"/>
        </w:rPr>
      </w:pPr>
    </w:p>
    <w:p w14:paraId="7935025B" w14:textId="77777777" w:rsidR="00952A20" w:rsidRPr="004A0619" w:rsidRDefault="00952A20" w:rsidP="00952A20">
      <w:pPr>
        <w:jc w:val="both"/>
        <w:rPr>
          <w:sz w:val="18"/>
          <w:szCs w:val="18"/>
        </w:rPr>
      </w:pPr>
    </w:p>
    <w:p w14:paraId="34C9512C" w14:textId="77777777" w:rsidR="00952A20" w:rsidRPr="004A0619" w:rsidRDefault="00952A20" w:rsidP="00952A20">
      <w:pPr>
        <w:jc w:val="both"/>
        <w:rPr>
          <w:sz w:val="18"/>
          <w:szCs w:val="18"/>
        </w:rPr>
      </w:pPr>
    </w:p>
    <w:p w14:paraId="5FEB7B1D" w14:textId="77777777" w:rsidR="0091333B" w:rsidRDefault="0091333B" w:rsidP="00952A20">
      <w:pPr>
        <w:jc w:val="both"/>
        <w:rPr>
          <w:sz w:val="18"/>
        </w:rPr>
      </w:pPr>
    </w:p>
    <w:p w14:paraId="6D3C68C0" w14:textId="77777777" w:rsidR="0091333B" w:rsidRDefault="0091333B" w:rsidP="00952A20">
      <w:pPr>
        <w:jc w:val="both"/>
        <w:rPr>
          <w:sz w:val="18"/>
        </w:rPr>
      </w:pPr>
    </w:p>
    <w:p w14:paraId="24A328A2" w14:textId="67DEE678" w:rsidR="00D73688" w:rsidRPr="004A0619" w:rsidRDefault="00952A20" w:rsidP="00952A20">
      <w:pPr>
        <w:jc w:val="both"/>
        <w:rPr>
          <w:sz w:val="18"/>
          <w:szCs w:val="18"/>
        </w:rPr>
      </w:pPr>
      <w:r w:rsidRPr="004A0619">
        <w:rPr>
          <w:sz w:val="18"/>
        </w:rPr>
        <w:t xml:space="preserve">Vysoká účinnost systému vede k jeho rychlejší amortizaci. </w:t>
      </w:r>
    </w:p>
    <w:p w14:paraId="15C02C1C" w14:textId="090F224A" w:rsidR="00952A20" w:rsidRPr="004A0619" w:rsidRDefault="00952A20" w:rsidP="00952A20">
      <w:pPr>
        <w:jc w:val="both"/>
        <w:rPr>
          <w:sz w:val="18"/>
          <w:szCs w:val="18"/>
        </w:rPr>
      </w:pPr>
      <w:r w:rsidRPr="004A0619">
        <w:rPr>
          <w:noProof/>
        </w:rPr>
        <w:drawing>
          <wp:anchor distT="0" distB="0" distL="114300" distR="114300" simplePos="0" relativeHeight="251659264" behindDoc="1" locked="0" layoutInCell="1" allowOverlap="1" wp14:anchorId="6021D1A2" wp14:editId="0C742AC4">
            <wp:simplePos x="0" y="0"/>
            <wp:positionH relativeFrom="margin">
              <wp:align>left</wp:align>
            </wp:positionH>
            <wp:positionV relativeFrom="paragraph">
              <wp:posOffset>254000</wp:posOffset>
            </wp:positionV>
            <wp:extent cx="2658745" cy="1495425"/>
            <wp:effectExtent l="0" t="0" r="8255" b="0"/>
            <wp:wrapTight wrapText="bothSides">
              <wp:wrapPolygon edited="0">
                <wp:start x="0" y="0"/>
                <wp:lineTo x="0" y="21187"/>
                <wp:lineTo x="21512" y="21187"/>
                <wp:lineTo x="21512"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64406" cy="14984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05227D9" w14:textId="77777777" w:rsidR="00952A20" w:rsidRPr="004A0619" w:rsidRDefault="00952A20" w:rsidP="00952A20">
      <w:pPr>
        <w:jc w:val="both"/>
        <w:rPr>
          <w:sz w:val="20"/>
          <w:szCs w:val="20"/>
        </w:rPr>
      </w:pPr>
    </w:p>
    <w:p w14:paraId="310200CC" w14:textId="77777777" w:rsidR="00952A20" w:rsidRPr="004A0619" w:rsidRDefault="00952A20" w:rsidP="00952A20">
      <w:pPr>
        <w:jc w:val="both"/>
        <w:rPr>
          <w:sz w:val="20"/>
          <w:szCs w:val="20"/>
        </w:rPr>
      </w:pPr>
    </w:p>
    <w:p w14:paraId="5DD038F4" w14:textId="77777777" w:rsidR="00952A20" w:rsidRPr="004A0619" w:rsidRDefault="00952A20" w:rsidP="00952A20">
      <w:pPr>
        <w:jc w:val="both"/>
        <w:rPr>
          <w:sz w:val="20"/>
          <w:szCs w:val="20"/>
        </w:rPr>
      </w:pPr>
    </w:p>
    <w:p w14:paraId="7B1E804D" w14:textId="77777777" w:rsidR="00952A20" w:rsidRPr="004A0619" w:rsidRDefault="00952A20" w:rsidP="00952A20">
      <w:pPr>
        <w:jc w:val="both"/>
        <w:rPr>
          <w:sz w:val="20"/>
          <w:szCs w:val="20"/>
        </w:rPr>
      </w:pPr>
    </w:p>
    <w:p w14:paraId="1FFFF057" w14:textId="77777777" w:rsidR="0091333B" w:rsidRDefault="0091333B" w:rsidP="00952A20">
      <w:pPr>
        <w:jc w:val="both"/>
        <w:rPr>
          <w:sz w:val="16"/>
        </w:rPr>
      </w:pPr>
    </w:p>
    <w:p w14:paraId="6CE54A68" w14:textId="77777777" w:rsidR="0091333B" w:rsidRDefault="0091333B" w:rsidP="00952A20">
      <w:pPr>
        <w:jc w:val="both"/>
        <w:rPr>
          <w:sz w:val="16"/>
        </w:rPr>
      </w:pPr>
    </w:p>
    <w:p w14:paraId="557E54D5" w14:textId="38B40309" w:rsidR="00952A20" w:rsidRPr="004A0619" w:rsidRDefault="00952A20" w:rsidP="00952A20">
      <w:pPr>
        <w:jc w:val="both"/>
        <w:rPr>
          <w:sz w:val="16"/>
          <w:szCs w:val="16"/>
        </w:rPr>
      </w:pPr>
      <w:r w:rsidRPr="004A0619">
        <w:rPr>
          <w:sz w:val="16"/>
        </w:rPr>
        <w:t>Martin Hackl, Global Director obchodní jednotky Solar Energy, Fronius International GmbH.</w:t>
      </w:r>
    </w:p>
    <w:p w14:paraId="6C63BF03" w14:textId="4ABD2697" w:rsidR="00952A20" w:rsidRPr="004A0619" w:rsidRDefault="00952A20" w:rsidP="00952A20">
      <w:pPr>
        <w:jc w:val="both"/>
        <w:rPr>
          <w:sz w:val="20"/>
          <w:szCs w:val="20"/>
        </w:rPr>
      </w:pPr>
      <w:r w:rsidRPr="004A0619">
        <w:rPr>
          <w:noProof/>
          <w:sz w:val="20"/>
        </w:rPr>
        <w:lastRenderedPageBreak/>
        <w:drawing>
          <wp:anchor distT="0" distB="0" distL="114300" distR="114300" simplePos="0" relativeHeight="251660288" behindDoc="1" locked="0" layoutInCell="1" allowOverlap="1" wp14:anchorId="5F995ECB" wp14:editId="1AB009A0">
            <wp:simplePos x="0" y="0"/>
            <wp:positionH relativeFrom="margin">
              <wp:align>left</wp:align>
            </wp:positionH>
            <wp:positionV relativeFrom="paragraph">
              <wp:posOffset>48260</wp:posOffset>
            </wp:positionV>
            <wp:extent cx="2658745" cy="1772920"/>
            <wp:effectExtent l="0" t="0" r="8255" b="0"/>
            <wp:wrapTight wrapText="bothSides">
              <wp:wrapPolygon edited="0">
                <wp:start x="0" y="0"/>
                <wp:lineTo x="0" y="21352"/>
                <wp:lineTo x="21512" y="21352"/>
                <wp:lineTo x="21512"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58745" cy="1772920"/>
                    </a:xfrm>
                    <a:prstGeom prst="rect">
                      <a:avLst/>
                    </a:prstGeom>
                  </pic:spPr>
                </pic:pic>
              </a:graphicData>
            </a:graphic>
            <wp14:sizeRelH relativeFrom="margin">
              <wp14:pctWidth>0</wp14:pctWidth>
            </wp14:sizeRelH>
            <wp14:sizeRelV relativeFrom="margin">
              <wp14:pctHeight>0</wp14:pctHeight>
            </wp14:sizeRelV>
          </wp:anchor>
        </w:drawing>
      </w:r>
    </w:p>
    <w:p w14:paraId="28FFBF6F" w14:textId="77777777" w:rsidR="00952A20" w:rsidRPr="004A0619" w:rsidRDefault="00952A20" w:rsidP="00952A20">
      <w:pPr>
        <w:jc w:val="both"/>
        <w:rPr>
          <w:sz w:val="20"/>
          <w:szCs w:val="20"/>
        </w:rPr>
      </w:pPr>
    </w:p>
    <w:p w14:paraId="51A03DE0" w14:textId="77777777" w:rsidR="00952A20" w:rsidRPr="004A0619" w:rsidRDefault="00952A20" w:rsidP="00952A20">
      <w:pPr>
        <w:jc w:val="both"/>
        <w:rPr>
          <w:sz w:val="20"/>
          <w:szCs w:val="20"/>
        </w:rPr>
      </w:pPr>
    </w:p>
    <w:p w14:paraId="483C362A" w14:textId="77777777" w:rsidR="00952A20" w:rsidRPr="004A0619" w:rsidRDefault="00952A20" w:rsidP="00952A20">
      <w:pPr>
        <w:jc w:val="both"/>
        <w:rPr>
          <w:sz w:val="20"/>
          <w:szCs w:val="20"/>
        </w:rPr>
      </w:pPr>
    </w:p>
    <w:p w14:paraId="408186E8" w14:textId="77777777" w:rsidR="00952A20" w:rsidRPr="004A0619" w:rsidRDefault="00952A20" w:rsidP="00952A20">
      <w:pPr>
        <w:jc w:val="both"/>
        <w:rPr>
          <w:sz w:val="20"/>
          <w:szCs w:val="20"/>
        </w:rPr>
      </w:pPr>
    </w:p>
    <w:p w14:paraId="2D901092" w14:textId="77777777" w:rsidR="0091333B" w:rsidRDefault="0091333B" w:rsidP="00952A20">
      <w:pPr>
        <w:jc w:val="both"/>
        <w:rPr>
          <w:sz w:val="16"/>
        </w:rPr>
      </w:pPr>
    </w:p>
    <w:p w14:paraId="30E744D1" w14:textId="77777777" w:rsidR="0091333B" w:rsidRDefault="0091333B" w:rsidP="00952A20">
      <w:pPr>
        <w:jc w:val="both"/>
        <w:rPr>
          <w:sz w:val="16"/>
        </w:rPr>
      </w:pPr>
    </w:p>
    <w:p w14:paraId="0B8C41CF" w14:textId="3347CCF5" w:rsidR="00952A20" w:rsidRDefault="00952A20" w:rsidP="00952A20">
      <w:pPr>
        <w:jc w:val="both"/>
        <w:rPr>
          <w:sz w:val="16"/>
        </w:rPr>
      </w:pPr>
      <w:r w:rsidRPr="004A0619">
        <w:rPr>
          <w:sz w:val="16"/>
        </w:rPr>
        <w:t>Susanne Lampl, produktová manažerka, obchodní jednotka Solar Energy, Fronius International GmbH.</w:t>
      </w:r>
    </w:p>
    <w:p w14:paraId="648EB455" w14:textId="77777777" w:rsidR="0091333B" w:rsidRPr="004A0619" w:rsidRDefault="0091333B" w:rsidP="00952A20">
      <w:pPr>
        <w:jc w:val="both"/>
        <w:rPr>
          <w:sz w:val="16"/>
          <w:szCs w:val="16"/>
        </w:rPr>
      </w:pPr>
    </w:p>
    <w:p w14:paraId="678B5CFF" w14:textId="25003DBD" w:rsidR="00B8257D" w:rsidRPr="004A0619" w:rsidRDefault="00B25C3B" w:rsidP="00604BFB">
      <w:pPr>
        <w:jc w:val="both"/>
        <w:rPr>
          <w:i/>
          <w:iCs/>
          <w:sz w:val="18"/>
          <w:szCs w:val="18"/>
        </w:rPr>
      </w:pPr>
      <w:r w:rsidRPr="004A0619">
        <w:rPr>
          <w:i/>
          <w:sz w:val="18"/>
        </w:rPr>
        <w:t>Fotografie: Fronius International GmbH, reprodukce zdarma</w:t>
      </w:r>
    </w:p>
    <w:p w14:paraId="790215F6" w14:textId="6495A8A4" w:rsidR="00670F02" w:rsidRDefault="00670F02" w:rsidP="00604BFB">
      <w:pPr>
        <w:jc w:val="both"/>
        <w:rPr>
          <w:sz w:val="16"/>
          <w:szCs w:val="16"/>
        </w:rPr>
      </w:pPr>
    </w:p>
    <w:p w14:paraId="5C737C02" w14:textId="55695029" w:rsidR="0091333B" w:rsidRDefault="0091333B" w:rsidP="00604BFB">
      <w:pPr>
        <w:jc w:val="both"/>
        <w:rPr>
          <w:sz w:val="16"/>
          <w:szCs w:val="16"/>
        </w:rPr>
      </w:pPr>
    </w:p>
    <w:p w14:paraId="44352344" w14:textId="4596B089" w:rsidR="0091333B" w:rsidRDefault="0091333B" w:rsidP="00604BFB">
      <w:pPr>
        <w:jc w:val="both"/>
        <w:rPr>
          <w:sz w:val="16"/>
          <w:szCs w:val="16"/>
        </w:rPr>
      </w:pPr>
    </w:p>
    <w:p w14:paraId="40FF4086" w14:textId="1B5B3CD5" w:rsidR="0091333B" w:rsidRDefault="0091333B" w:rsidP="00604BFB">
      <w:pPr>
        <w:jc w:val="both"/>
        <w:rPr>
          <w:sz w:val="16"/>
          <w:szCs w:val="16"/>
        </w:rPr>
      </w:pPr>
    </w:p>
    <w:p w14:paraId="16397D4A" w14:textId="3688456B" w:rsidR="0091333B" w:rsidRDefault="0091333B" w:rsidP="00604BFB">
      <w:pPr>
        <w:jc w:val="both"/>
        <w:rPr>
          <w:sz w:val="16"/>
          <w:szCs w:val="16"/>
        </w:rPr>
      </w:pPr>
    </w:p>
    <w:p w14:paraId="24DBE2EE" w14:textId="229D7BC3" w:rsidR="0091333B" w:rsidRDefault="0091333B" w:rsidP="00604BFB">
      <w:pPr>
        <w:jc w:val="both"/>
        <w:rPr>
          <w:sz w:val="16"/>
          <w:szCs w:val="16"/>
        </w:rPr>
      </w:pPr>
    </w:p>
    <w:p w14:paraId="0EA19D44" w14:textId="691B00BC" w:rsidR="0091333B" w:rsidRDefault="0091333B" w:rsidP="00604BFB">
      <w:pPr>
        <w:jc w:val="both"/>
        <w:rPr>
          <w:sz w:val="16"/>
          <w:szCs w:val="16"/>
        </w:rPr>
      </w:pPr>
    </w:p>
    <w:p w14:paraId="4BF80DA1" w14:textId="062FB175" w:rsidR="0091333B" w:rsidRDefault="0091333B" w:rsidP="00604BFB">
      <w:pPr>
        <w:jc w:val="both"/>
        <w:rPr>
          <w:sz w:val="16"/>
          <w:szCs w:val="16"/>
        </w:rPr>
      </w:pPr>
    </w:p>
    <w:p w14:paraId="6EB7926B" w14:textId="13790690" w:rsidR="0091333B" w:rsidRDefault="0091333B" w:rsidP="00604BFB">
      <w:pPr>
        <w:jc w:val="both"/>
        <w:rPr>
          <w:sz w:val="16"/>
          <w:szCs w:val="16"/>
        </w:rPr>
      </w:pPr>
    </w:p>
    <w:p w14:paraId="24FD872C" w14:textId="2D377A0D" w:rsidR="0091333B" w:rsidRDefault="0091333B" w:rsidP="00604BFB">
      <w:pPr>
        <w:jc w:val="both"/>
        <w:rPr>
          <w:sz w:val="16"/>
          <w:szCs w:val="16"/>
        </w:rPr>
      </w:pPr>
    </w:p>
    <w:p w14:paraId="4452211C" w14:textId="1DCD0797" w:rsidR="0091333B" w:rsidRDefault="0091333B" w:rsidP="00604BFB">
      <w:pPr>
        <w:jc w:val="both"/>
        <w:rPr>
          <w:sz w:val="16"/>
          <w:szCs w:val="16"/>
        </w:rPr>
      </w:pPr>
    </w:p>
    <w:p w14:paraId="5DA8EC38" w14:textId="347AFB4F" w:rsidR="0091333B" w:rsidRDefault="0091333B" w:rsidP="00604BFB">
      <w:pPr>
        <w:jc w:val="both"/>
        <w:rPr>
          <w:sz w:val="16"/>
          <w:szCs w:val="16"/>
        </w:rPr>
      </w:pPr>
    </w:p>
    <w:p w14:paraId="6D07CCCE" w14:textId="5F48E322" w:rsidR="0091333B" w:rsidRDefault="0091333B" w:rsidP="00604BFB">
      <w:pPr>
        <w:jc w:val="both"/>
        <w:rPr>
          <w:sz w:val="16"/>
          <w:szCs w:val="16"/>
        </w:rPr>
      </w:pPr>
    </w:p>
    <w:p w14:paraId="0A3E8990" w14:textId="1C30169B" w:rsidR="0091333B" w:rsidRDefault="0091333B" w:rsidP="00604BFB">
      <w:pPr>
        <w:jc w:val="both"/>
        <w:rPr>
          <w:sz w:val="16"/>
          <w:szCs w:val="16"/>
        </w:rPr>
      </w:pPr>
    </w:p>
    <w:p w14:paraId="7BE0021C" w14:textId="5BBDE927" w:rsidR="0091333B" w:rsidRDefault="0091333B" w:rsidP="00604BFB">
      <w:pPr>
        <w:jc w:val="both"/>
        <w:rPr>
          <w:sz w:val="16"/>
          <w:szCs w:val="16"/>
        </w:rPr>
      </w:pPr>
    </w:p>
    <w:p w14:paraId="1FA6561C" w14:textId="4B423AF3" w:rsidR="0091333B" w:rsidRDefault="0091333B" w:rsidP="00604BFB">
      <w:pPr>
        <w:jc w:val="both"/>
        <w:rPr>
          <w:sz w:val="16"/>
          <w:szCs w:val="16"/>
        </w:rPr>
      </w:pPr>
    </w:p>
    <w:p w14:paraId="46DC60C2" w14:textId="0F78BC36" w:rsidR="0091333B" w:rsidRDefault="0091333B" w:rsidP="00604BFB">
      <w:pPr>
        <w:jc w:val="both"/>
        <w:rPr>
          <w:sz w:val="16"/>
          <w:szCs w:val="16"/>
        </w:rPr>
      </w:pPr>
    </w:p>
    <w:p w14:paraId="25D90CE8" w14:textId="12D0D6FB" w:rsidR="0091333B" w:rsidRDefault="0091333B" w:rsidP="00604BFB">
      <w:pPr>
        <w:jc w:val="both"/>
        <w:rPr>
          <w:sz w:val="16"/>
          <w:szCs w:val="16"/>
        </w:rPr>
      </w:pPr>
    </w:p>
    <w:p w14:paraId="70D42596" w14:textId="15B2D37F" w:rsidR="0091333B" w:rsidRDefault="0091333B" w:rsidP="00604BFB">
      <w:pPr>
        <w:jc w:val="both"/>
        <w:rPr>
          <w:sz w:val="16"/>
          <w:szCs w:val="16"/>
        </w:rPr>
      </w:pPr>
    </w:p>
    <w:p w14:paraId="0868671D" w14:textId="28486AF3" w:rsidR="0091333B" w:rsidRDefault="0091333B" w:rsidP="00604BFB">
      <w:pPr>
        <w:jc w:val="both"/>
        <w:rPr>
          <w:sz w:val="16"/>
          <w:szCs w:val="16"/>
        </w:rPr>
      </w:pPr>
    </w:p>
    <w:p w14:paraId="7D3BB494" w14:textId="768B9CD4" w:rsidR="0091333B" w:rsidRDefault="0091333B" w:rsidP="00604BFB">
      <w:pPr>
        <w:jc w:val="both"/>
        <w:rPr>
          <w:sz w:val="16"/>
          <w:szCs w:val="16"/>
        </w:rPr>
      </w:pPr>
    </w:p>
    <w:p w14:paraId="650C7603" w14:textId="2A183AD1" w:rsidR="0091333B" w:rsidRDefault="0091333B" w:rsidP="00604BFB">
      <w:pPr>
        <w:jc w:val="both"/>
        <w:rPr>
          <w:sz w:val="16"/>
          <w:szCs w:val="16"/>
        </w:rPr>
      </w:pPr>
    </w:p>
    <w:p w14:paraId="7E9522B6" w14:textId="3A61A890" w:rsidR="0091333B" w:rsidRDefault="0091333B" w:rsidP="00604BFB">
      <w:pPr>
        <w:jc w:val="both"/>
        <w:rPr>
          <w:sz w:val="16"/>
          <w:szCs w:val="16"/>
        </w:rPr>
      </w:pPr>
    </w:p>
    <w:p w14:paraId="4F8C6D4F" w14:textId="594A5719" w:rsidR="0091333B" w:rsidRDefault="0091333B" w:rsidP="00604BFB">
      <w:pPr>
        <w:jc w:val="both"/>
        <w:rPr>
          <w:sz w:val="16"/>
          <w:szCs w:val="16"/>
        </w:rPr>
      </w:pPr>
    </w:p>
    <w:p w14:paraId="0AD1EEAF" w14:textId="77777777" w:rsidR="0091333B" w:rsidRDefault="0091333B" w:rsidP="00604BFB">
      <w:pPr>
        <w:jc w:val="both"/>
        <w:rPr>
          <w:sz w:val="16"/>
          <w:szCs w:val="16"/>
        </w:rPr>
      </w:pPr>
    </w:p>
    <w:p w14:paraId="4279F00F" w14:textId="77777777" w:rsidR="0091333B" w:rsidRPr="00202E34" w:rsidRDefault="0091333B" w:rsidP="0091333B">
      <w:pPr>
        <w:pStyle w:val="berschrift4"/>
        <w:jc w:val="both"/>
        <w:rPr>
          <w:sz w:val="20"/>
          <w:szCs w:val="20"/>
        </w:rPr>
      </w:pPr>
      <w:r w:rsidRPr="00202E34">
        <w:rPr>
          <w:sz w:val="20"/>
        </w:rPr>
        <w:lastRenderedPageBreak/>
        <w:t>Obchodní jednotka Solar Energy</w:t>
      </w:r>
    </w:p>
    <w:p w14:paraId="5AFB4325" w14:textId="62FE3903" w:rsidR="0091333B" w:rsidRPr="00202E34" w:rsidRDefault="0091333B" w:rsidP="0091333B">
      <w:pPr>
        <w:jc w:val="both"/>
        <w:rPr>
          <w:sz w:val="20"/>
          <w:szCs w:val="20"/>
        </w:rPr>
      </w:pPr>
      <w:r w:rsidRPr="00202E34">
        <w:rPr>
          <w:sz w:val="20"/>
        </w:rPr>
        <w:t>Obchodní jednotka Solar Energy společnosti Fronius, založená v roce 1992, letos slaví 30 let existence. Pod heslem „Energize your life.“ vyvíjíme inovativní řešení, díky kterým lze hospodárně a inteligentně vyrábět, uchovávat, distribuovat a spotřebovávat sluneční energii. Obchodní jednotka Solar Energy společnosti Fronius umožňuje využívat každý den 24 hodin slunce a je průkopníkem budoucnosti umožňující hodnotný život, v níž energie z obnovitelných zdrojů stoprocentně pokrývá celosvětovou spotřebu. Udržitelný vývoj a výroba našich řešení probíhají v plné míře v Evropě – především v Rakousku. Po celém světě je obchodní jednotka Solar Energy společnosti Fronius zastoupena 26 pobočkami a u svých dosud nainstalovaných střídačů se může chlubit celkovým výkonem více než 2</w:t>
      </w:r>
      <w:r>
        <w:rPr>
          <w:sz w:val="20"/>
        </w:rPr>
        <w:t>9</w:t>
      </w:r>
      <w:r w:rsidRPr="00202E34">
        <w:rPr>
          <w:sz w:val="20"/>
        </w:rPr>
        <w:t> GW. Distribuce probíhá prostřednictvím globální kompetenční sítě montážních, servisních a prodejních partnerů.</w:t>
      </w:r>
    </w:p>
    <w:p w14:paraId="744BB828" w14:textId="77777777" w:rsidR="0091333B" w:rsidRPr="00202E34" w:rsidRDefault="0091333B" w:rsidP="0091333B">
      <w:pPr>
        <w:spacing w:after="0" w:line="240" w:lineRule="auto"/>
        <w:jc w:val="both"/>
        <w:rPr>
          <w:b/>
          <w:bCs/>
          <w:sz w:val="20"/>
          <w:szCs w:val="20"/>
        </w:rPr>
      </w:pPr>
      <w:bookmarkStart w:id="0" w:name="_Hlk107480427"/>
      <w:r w:rsidRPr="00202E34">
        <w:rPr>
          <w:b/>
          <w:sz w:val="20"/>
        </w:rPr>
        <w:t>My jsme Fronius.</w:t>
      </w:r>
    </w:p>
    <w:bookmarkEnd w:id="0"/>
    <w:p w14:paraId="17E4CEF2" w14:textId="3E8BF3AA" w:rsidR="0091333B" w:rsidRPr="00202E34" w:rsidRDefault="0091333B" w:rsidP="0091333B">
      <w:pPr>
        <w:spacing w:after="0" w:line="240" w:lineRule="auto"/>
        <w:jc w:val="both"/>
        <w:rPr>
          <w:sz w:val="20"/>
          <w:szCs w:val="20"/>
        </w:rPr>
      </w:pPr>
      <w:r w:rsidRPr="00202E34">
        <w:rPr>
          <w:sz w:val="20"/>
        </w:rPr>
        <w:t xml:space="preserve">Více než </w:t>
      </w:r>
      <w:r>
        <w:rPr>
          <w:sz w:val="20"/>
        </w:rPr>
        <w:t>7 0</w:t>
      </w:r>
      <w:r w:rsidRPr="00202E34">
        <w:rPr>
          <w:sz w:val="20"/>
        </w:rPr>
        <w:t>00 zaměstnankyň a zaměstnanců po celém světě, současný podíl exportu 89 procent a 1 366 aktivních patentů: To jsme my, to je Fronius. Byli jsme založeni v roce 1945 jako regionální firma jednoho muže a nyní jsme globálním hráčem, což dokazuje našich 37 mezinárodních dceřiných společností a síť prodejních partnerů ve více než 60 zemích. Přesto jsme v jádru stále rodinnou firmou z Rakouska, která působí v oblasti fotovoltaiky, svařování a technologie nabíjení akumulátorů. Vždy jsme vyvíjeli výrobky a řešení pro kvalitní budoucnost a nabízeli našim zákaznicím a zákazníkům komplexní balíček: od předběžného plánování a poradenství přes průběžný monitoring až po opravárenský servis dokonale odpovídající potřebám. Jsme inovativní. Jsme zvědaví. Jsme Fronius.</w:t>
      </w:r>
    </w:p>
    <w:p w14:paraId="3FE3C97E" w14:textId="77777777" w:rsidR="0091333B" w:rsidRPr="00202E34" w:rsidRDefault="0091333B" w:rsidP="0091333B">
      <w:pPr>
        <w:jc w:val="both"/>
        <w:rPr>
          <w:sz w:val="20"/>
          <w:szCs w:val="20"/>
        </w:rPr>
      </w:pPr>
    </w:p>
    <w:p w14:paraId="20B5CDBA" w14:textId="77777777" w:rsidR="0091333B" w:rsidRPr="002F207D" w:rsidRDefault="0091333B" w:rsidP="0091333B">
      <w:pPr>
        <w:pStyle w:val="berschrift4"/>
        <w:jc w:val="both"/>
        <w:rPr>
          <w:sz w:val="20"/>
          <w:szCs w:val="20"/>
        </w:rPr>
      </w:pPr>
      <w:r>
        <w:rPr>
          <w:sz w:val="20"/>
        </w:rPr>
        <w:t>Kontakt</w:t>
      </w:r>
    </w:p>
    <w:p w14:paraId="79A22212" w14:textId="77777777" w:rsidR="0091333B" w:rsidRDefault="0091333B" w:rsidP="0091333B">
      <w:pPr>
        <w:rPr>
          <w:sz w:val="20"/>
        </w:rPr>
      </w:pPr>
      <w:r>
        <w:rPr>
          <w:sz w:val="20"/>
        </w:rPr>
        <w:t>Fronius International GmbH, Mag. Andrea SCHARTNER,</w:t>
      </w:r>
      <w:r>
        <w:rPr>
          <w:sz w:val="20"/>
        </w:rPr>
        <w:br/>
        <w:t xml:space="preserve">+43 664 88536765, </w:t>
      </w:r>
      <w:hyperlink r:id="rId11" w:history="1">
        <w:r>
          <w:rPr>
            <w:rStyle w:val="Hyperlink"/>
            <w:sz w:val="20"/>
          </w:rPr>
          <w:t>schartner.andrea@fronius.com</w:t>
        </w:r>
      </w:hyperlink>
      <w:r>
        <w:rPr>
          <w:sz w:val="20"/>
        </w:rPr>
        <w:t>,</w:t>
      </w:r>
      <w:r>
        <w:rPr>
          <w:sz w:val="20"/>
        </w:rPr>
        <w:br/>
        <w:t>Froniusplatz 1, 4600 Wels, Rakousko</w:t>
      </w:r>
    </w:p>
    <w:p w14:paraId="5C021402" w14:textId="77777777" w:rsidR="0091333B" w:rsidRPr="008E039E" w:rsidRDefault="0091333B" w:rsidP="0091333B">
      <w:pPr>
        <w:spacing w:before="40" w:after="40" w:line="240" w:lineRule="auto"/>
        <w:rPr>
          <w:sz w:val="20"/>
        </w:rPr>
      </w:pPr>
      <w:r w:rsidRPr="00645F52">
        <w:rPr>
          <w:sz w:val="20"/>
        </w:rPr>
        <w:t xml:space="preserve">Jitka KOCALOVA +420 607 098 956, </w:t>
      </w:r>
      <w:hyperlink r:id="rId12" w:history="1">
        <w:r w:rsidRPr="00645F52">
          <w:rPr>
            <w:rStyle w:val="Hyperlink"/>
            <w:sz w:val="20"/>
            <w:szCs w:val="20"/>
          </w:rPr>
          <w:t>Kocalova.Jitka@fronius.com</w:t>
        </w:r>
      </w:hyperlink>
      <w:r w:rsidRPr="00645F52">
        <w:rPr>
          <w:sz w:val="20"/>
        </w:rPr>
        <w:t>, Dolnoměcholupská 1535/14, 102 00 Praha 10, Česká republika s.r.o.</w:t>
      </w:r>
    </w:p>
    <w:p w14:paraId="56C67A26" w14:textId="77777777" w:rsidR="0091333B" w:rsidRPr="002B0C46" w:rsidRDefault="0091333B" w:rsidP="0091333B">
      <w:pPr>
        <w:rPr>
          <w:sz w:val="20"/>
          <w:szCs w:val="20"/>
        </w:rPr>
      </w:pPr>
    </w:p>
    <w:p w14:paraId="1748F373" w14:textId="77777777" w:rsidR="0091333B" w:rsidRDefault="0091333B" w:rsidP="0091333B">
      <w:pPr>
        <w:spacing w:before="40" w:after="40" w:line="240" w:lineRule="auto"/>
        <w:rPr>
          <w:rStyle w:val="Hyperlink"/>
          <w:sz w:val="20"/>
          <w:szCs w:val="20"/>
        </w:rPr>
      </w:pPr>
      <w:r>
        <w:rPr>
          <w:color w:val="000000" w:themeColor="text1"/>
          <w:sz w:val="20"/>
          <w:u w:val="single"/>
        </w:rPr>
        <w:t>Povinný výtisk</w:t>
      </w:r>
      <w:r>
        <w:rPr>
          <w:color w:val="000000" w:themeColor="text1"/>
          <w:sz w:val="20"/>
          <w:u w:val="single"/>
        </w:rPr>
        <w:br/>
      </w:r>
      <w:r>
        <w:rPr>
          <w:sz w:val="20"/>
        </w:rPr>
        <w:t>a1kommunikation Schweizer GmbH, Rüdiger KEMPA,</w:t>
      </w:r>
      <w:r>
        <w:rPr>
          <w:sz w:val="20"/>
        </w:rPr>
        <w:br/>
      </w:r>
      <w:hyperlink r:id="rId13" w:history="1">
        <w:r>
          <w:rPr>
            <w:rStyle w:val="Hyperlink"/>
            <w:sz w:val="20"/>
          </w:rPr>
          <w:t>rke@a1kommunikation.de</w:t>
        </w:r>
      </w:hyperlink>
    </w:p>
    <w:p w14:paraId="64B04EFA" w14:textId="77777777" w:rsidR="0091333B" w:rsidRPr="00C52F19" w:rsidRDefault="0091333B" w:rsidP="0091333B">
      <w:pPr>
        <w:spacing w:before="40" w:after="40" w:line="240" w:lineRule="auto"/>
        <w:rPr>
          <w:color w:val="0563C1" w:themeColor="hyperlink"/>
          <w:sz w:val="20"/>
          <w:szCs w:val="20"/>
          <w:u w:val="single"/>
        </w:rPr>
      </w:pPr>
      <w:r>
        <w:rPr>
          <w:sz w:val="20"/>
        </w:rPr>
        <w:t>Oberdorfstraße 31A, 70794 Filderstadt, Německo</w:t>
      </w:r>
    </w:p>
    <w:p w14:paraId="5AD2C29B" w14:textId="77777777" w:rsidR="0091333B" w:rsidRDefault="0091333B" w:rsidP="0091333B">
      <w:pPr>
        <w:jc w:val="both"/>
        <w:rPr>
          <w:sz w:val="16"/>
          <w:szCs w:val="16"/>
        </w:rPr>
      </w:pPr>
    </w:p>
    <w:p w14:paraId="6280A2D3" w14:textId="77777777" w:rsidR="0091333B" w:rsidRPr="00604BFB" w:rsidRDefault="0091333B" w:rsidP="0091333B">
      <w:pPr>
        <w:jc w:val="both"/>
        <w:rPr>
          <w:sz w:val="16"/>
          <w:szCs w:val="16"/>
        </w:rPr>
      </w:pPr>
      <w:r>
        <w:rPr>
          <w:sz w:val="16"/>
        </w:rPr>
        <w:t xml:space="preserve">Pokud si nepřejete dostávat další tisková sdělení od společnosti Fronius International GmbH (obchodní jednotka Solar Energy), odpovězte textem UNSUBSCRIBE na e-mailovou adresu </w:t>
      </w:r>
      <w:hyperlink r:id="rId14" w:history="1">
        <w:r>
          <w:rPr>
            <w:rStyle w:val="Hyperlink"/>
            <w:sz w:val="16"/>
          </w:rPr>
          <w:t>cancellation@fronius.com</w:t>
        </w:r>
      </w:hyperlink>
      <w:r>
        <w:rPr>
          <w:sz w:val="16"/>
        </w:rPr>
        <w:t>.</w:t>
      </w:r>
    </w:p>
    <w:p w14:paraId="7BF375C7" w14:textId="77777777" w:rsidR="0091333B" w:rsidRPr="00604BFB" w:rsidRDefault="0091333B" w:rsidP="0091333B">
      <w:pPr>
        <w:pStyle w:val="berschrift4"/>
        <w:jc w:val="both"/>
        <w:rPr>
          <w:sz w:val="16"/>
          <w:szCs w:val="16"/>
        </w:rPr>
      </w:pPr>
    </w:p>
    <w:p w14:paraId="4C3904CC" w14:textId="77777777" w:rsidR="0091333B" w:rsidRPr="00604BFB" w:rsidRDefault="0091333B" w:rsidP="00604BFB">
      <w:pPr>
        <w:jc w:val="both"/>
        <w:rPr>
          <w:sz w:val="16"/>
          <w:szCs w:val="16"/>
        </w:rPr>
      </w:pPr>
    </w:p>
    <w:sectPr w:rsidR="0091333B" w:rsidRPr="00604BFB">
      <w:headerReference w:type="default" r:id="rId15"/>
      <w:footerReference w:type="default" r:id="rId1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DF2ACD" w14:textId="77777777" w:rsidR="00FA7693" w:rsidRDefault="00FA7693" w:rsidP="00B54547">
      <w:pPr>
        <w:spacing w:after="0" w:line="240" w:lineRule="auto"/>
      </w:pPr>
      <w:r>
        <w:separator/>
      </w:r>
    </w:p>
  </w:endnote>
  <w:endnote w:type="continuationSeparator" w:id="0">
    <w:p w14:paraId="7AB66B0B" w14:textId="77777777" w:rsidR="00FA7693" w:rsidRDefault="00FA7693"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Třída informací: veřejné</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rPr>
                    </w:pPr>
                    <w:r>
                      <w:rPr>
                        <w:sz w:val="12"/>
                      </w:rPr>
                      <w:t>Třída informací: veřejné</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04D600" w14:textId="77777777" w:rsidR="00FA7693" w:rsidRDefault="00FA7693" w:rsidP="00B54547">
      <w:pPr>
        <w:spacing w:after="0" w:line="240" w:lineRule="auto"/>
      </w:pPr>
      <w:r>
        <w:separator/>
      </w:r>
    </w:p>
  </w:footnote>
  <w:footnote w:type="continuationSeparator" w:id="0">
    <w:p w14:paraId="45D7E4C7" w14:textId="77777777" w:rsidR="00FA7693" w:rsidRDefault="00FA7693"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11981C38"/>
    <w:multiLevelType w:val="hybridMultilevel"/>
    <w:tmpl w:val="80D4ED9E"/>
    <w:lvl w:ilvl="0" w:tplc="75CEDE8E">
      <w:start w:val="1"/>
      <w:numFmt w:val="bullet"/>
      <w:lvlText w:val=""/>
      <w:lvlJc w:val="left"/>
      <w:pPr>
        <w:tabs>
          <w:tab w:val="num" w:pos="720"/>
        </w:tabs>
        <w:ind w:left="720" w:hanging="360"/>
      </w:pPr>
      <w:rPr>
        <w:rFonts w:ascii="Symbol" w:hAnsi="Symbol" w:hint="default"/>
      </w:rPr>
    </w:lvl>
    <w:lvl w:ilvl="1" w:tplc="8954EDAA" w:tentative="1">
      <w:start w:val="1"/>
      <w:numFmt w:val="bullet"/>
      <w:lvlText w:val=""/>
      <w:lvlJc w:val="left"/>
      <w:pPr>
        <w:tabs>
          <w:tab w:val="num" w:pos="1440"/>
        </w:tabs>
        <w:ind w:left="1440" w:hanging="360"/>
      </w:pPr>
      <w:rPr>
        <w:rFonts w:ascii="Symbol" w:hAnsi="Symbol" w:hint="default"/>
      </w:rPr>
    </w:lvl>
    <w:lvl w:ilvl="2" w:tplc="132CEFB6" w:tentative="1">
      <w:start w:val="1"/>
      <w:numFmt w:val="bullet"/>
      <w:lvlText w:val=""/>
      <w:lvlJc w:val="left"/>
      <w:pPr>
        <w:tabs>
          <w:tab w:val="num" w:pos="2160"/>
        </w:tabs>
        <w:ind w:left="2160" w:hanging="360"/>
      </w:pPr>
      <w:rPr>
        <w:rFonts w:ascii="Symbol" w:hAnsi="Symbol" w:hint="default"/>
      </w:rPr>
    </w:lvl>
    <w:lvl w:ilvl="3" w:tplc="D5A01536" w:tentative="1">
      <w:start w:val="1"/>
      <w:numFmt w:val="bullet"/>
      <w:lvlText w:val=""/>
      <w:lvlJc w:val="left"/>
      <w:pPr>
        <w:tabs>
          <w:tab w:val="num" w:pos="2880"/>
        </w:tabs>
        <w:ind w:left="2880" w:hanging="360"/>
      </w:pPr>
      <w:rPr>
        <w:rFonts w:ascii="Symbol" w:hAnsi="Symbol" w:hint="default"/>
      </w:rPr>
    </w:lvl>
    <w:lvl w:ilvl="4" w:tplc="0196451E" w:tentative="1">
      <w:start w:val="1"/>
      <w:numFmt w:val="bullet"/>
      <w:lvlText w:val=""/>
      <w:lvlJc w:val="left"/>
      <w:pPr>
        <w:tabs>
          <w:tab w:val="num" w:pos="3600"/>
        </w:tabs>
        <w:ind w:left="3600" w:hanging="360"/>
      </w:pPr>
      <w:rPr>
        <w:rFonts w:ascii="Symbol" w:hAnsi="Symbol" w:hint="default"/>
      </w:rPr>
    </w:lvl>
    <w:lvl w:ilvl="5" w:tplc="193ECC96" w:tentative="1">
      <w:start w:val="1"/>
      <w:numFmt w:val="bullet"/>
      <w:lvlText w:val=""/>
      <w:lvlJc w:val="left"/>
      <w:pPr>
        <w:tabs>
          <w:tab w:val="num" w:pos="4320"/>
        </w:tabs>
        <w:ind w:left="4320" w:hanging="360"/>
      </w:pPr>
      <w:rPr>
        <w:rFonts w:ascii="Symbol" w:hAnsi="Symbol" w:hint="default"/>
      </w:rPr>
    </w:lvl>
    <w:lvl w:ilvl="6" w:tplc="4E56BC6A" w:tentative="1">
      <w:start w:val="1"/>
      <w:numFmt w:val="bullet"/>
      <w:lvlText w:val=""/>
      <w:lvlJc w:val="left"/>
      <w:pPr>
        <w:tabs>
          <w:tab w:val="num" w:pos="5040"/>
        </w:tabs>
        <w:ind w:left="5040" w:hanging="360"/>
      </w:pPr>
      <w:rPr>
        <w:rFonts w:ascii="Symbol" w:hAnsi="Symbol" w:hint="default"/>
      </w:rPr>
    </w:lvl>
    <w:lvl w:ilvl="7" w:tplc="A4DAEFF2" w:tentative="1">
      <w:start w:val="1"/>
      <w:numFmt w:val="bullet"/>
      <w:lvlText w:val=""/>
      <w:lvlJc w:val="left"/>
      <w:pPr>
        <w:tabs>
          <w:tab w:val="num" w:pos="5760"/>
        </w:tabs>
        <w:ind w:left="5760" w:hanging="360"/>
      </w:pPr>
      <w:rPr>
        <w:rFonts w:ascii="Symbol" w:hAnsi="Symbol" w:hint="default"/>
      </w:rPr>
    </w:lvl>
    <w:lvl w:ilvl="8" w:tplc="BFA6B39A"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6"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7"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8"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9" w15:restartNumberingAfterBreak="0">
    <w:nsid w:val="7B467D88"/>
    <w:multiLevelType w:val="hybridMultilevel"/>
    <w:tmpl w:val="09788638"/>
    <w:lvl w:ilvl="0" w:tplc="11D81326">
      <w:numFmt w:val="bullet"/>
      <w:lvlText w:val="-"/>
      <w:lvlJc w:val="left"/>
      <w:pPr>
        <w:ind w:left="720" w:hanging="360"/>
      </w:pPr>
      <w:rPr>
        <w:rFonts w:ascii="Calibri" w:eastAsia="Calibr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num w:numId="1" w16cid:durableId="44986809">
    <w:abstractNumId w:val="8"/>
  </w:num>
  <w:num w:numId="2" w16cid:durableId="20741609">
    <w:abstractNumId w:val="0"/>
  </w:num>
  <w:num w:numId="3" w16cid:durableId="1189872239">
    <w:abstractNumId w:val="5"/>
  </w:num>
  <w:num w:numId="4" w16cid:durableId="1547373761">
    <w:abstractNumId w:val="7"/>
  </w:num>
  <w:num w:numId="5" w16cid:durableId="2110468141">
    <w:abstractNumId w:val="6"/>
  </w:num>
  <w:num w:numId="6" w16cid:durableId="1034384457">
    <w:abstractNumId w:val="1"/>
  </w:num>
  <w:num w:numId="7" w16cid:durableId="191187278">
    <w:abstractNumId w:val="4"/>
  </w:num>
  <w:num w:numId="8" w16cid:durableId="986014788">
    <w:abstractNumId w:val="3"/>
  </w:num>
  <w:num w:numId="9" w16cid:durableId="1446076719">
    <w:abstractNumId w:val="9"/>
  </w:num>
  <w:num w:numId="10" w16cid:durableId="7493044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1297E"/>
    <w:rsid w:val="00030C3B"/>
    <w:rsid w:val="0004753E"/>
    <w:rsid w:val="00097CDA"/>
    <w:rsid w:val="000C153C"/>
    <w:rsid w:val="000C4025"/>
    <w:rsid w:val="000F3AB0"/>
    <w:rsid w:val="000F43CD"/>
    <w:rsid w:val="00102F0B"/>
    <w:rsid w:val="00105654"/>
    <w:rsid w:val="00141482"/>
    <w:rsid w:val="001426C7"/>
    <w:rsid w:val="0015188A"/>
    <w:rsid w:val="0015484D"/>
    <w:rsid w:val="001668E3"/>
    <w:rsid w:val="00196F99"/>
    <w:rsid w:val="001A34C4"/>
    <w:rsid w:val="001B4713"/>
    <w:rsid w:val="001C35F0"/>
    <w:rsid w:val="001D371F"/>
    <w:rsid w:val="00202BA1"/>
    <w:rsid w:val="00215DF9"/>
    <w:rsid w:val="00217EDE"/>
    <w:rsid w:val="0024308B"/>
    <w:rsid w:val="00243F1D"/>
    <w:rsid w:val="0026515D"/>
    <w:rsid w:val="00271D71"/>
    <w:rsid w:val="00282219"/>
    <w:rsid w:val="00291157"/>
    <w:rsid w:val="00297C29"/>
    <w:rsid w:val="002A045C"/>
    <w:rsid w:val="002B1BB2"/>
    <w:rsid w:val="002C13C3"/>
    <w:rsid w:val="002C6795"/>
    <w:rsid w:val="002D77D9"/>
    <w:rsid w:val="002D7A44"/>
    <w:rsid w:val="002E4785"/>
    <w:rsid w:val="002F207D"/>
    <w:rsid w:val="003168D4"/>
    <w:rsid w:val="00333E1E"/>
    <w:rsid w:val="003405C8"/>
    <w:rsid w:val="0036590E"/>
    <w:rsid w:val="0037528F"/>
    <w:rsid w:val="00387130"/>
    <w:rsid w:val="00393D8C"/>
    <w:rsid w:val="003A323F"/>
    <w:rsid w:val="003B30C9"/>
    <w:rsid w:val="003B6595"/>
    <w:rsid w:val="003E6855"/>
    <w:rsid w:val="003F20E0"/>
    <w:rsid w:val="00402AA3"/>
    <w:rsid w:val="00403C78"/>
    <w:rsid w:val="00416BA9"/>
    <w:rsid w:val="00417AE0"/>
    <w:rsid w:val="00424297"/>
    <w:rsid w:val="00435440"/>
    <w:rsid w:val="0044171E"/>
    <w:rsid w:val="004420B7"/>
    <w:rsid w:val="00446048"/>
    <w:rsid w:val="00451F65"/>
    <w:rsid w:val="00455012"/>
    <w:rsid w:val="00463159"/>
    <w:rsid w:val="00470A9D"/>
    <w:rsid w:val="004A0619"/>
    <w:rsid w:val="004A1FC4"/>
    <w:rsid w:val="004B317B"/>
    <w:rsid w:val="004C1EF4"/>
    <w:rsid w:val="004D3344"/>
    <w:rsid w:val="004D569C"/>
    <w:rsid w:val="0051114E"/>
    <w:rsid w:val="00512C4C"/>
    <w:rsid w:val="00531A58"/>
    <w:rsid w:val="005351C3"/>
    <w:rsid w:val="00551A0C"/>
    <w:rsid w:val="00554093"/>
    <w:rsid w:val="00582BF5"/>
    <w:rsid w:val="005A26BF"/>
    <w:rsid w:val="005B6909"/>
    <w:rsid w:val="005C7E03"/>
    <w:rsid w:val="005D13F0"/>
    <w:rsid w:val="005D4BAD"/>
    <w:rsid w:val="00604BFB"/>
    <w:rsid w:val="00651247"/>
    <w:rsid w:val="00653250"/>
    <w:rsid w:val="00670F02"/>
    <w:rsid w:val="006B7803"/>
    <w:rsid w:val="006B7BDF"/>
    <w:rsid w:val="006D2AEF"/>
    <w:rsid w:val="006D6430"/>
    <w:rsid w:val="00703F47"/>
    <w:rsid w:val="00711B3F"/>
    <w:rsid w:val="00715E72"/>
    <w:rsid w:val="00723F58"/>
    <w:rsid w:val="00730C60"/>
    <w:rsid w:val="0074545E"/>
    <w:rsid w:val="0075037C"/>
    <w:rsid w:val="0076766D"/>
    <w:rsid w:val="0077772D"/>
    <w:rsid w:val="00777CF3"/>
    <w:rsid w:val="007931DE"/>
    <w:rsid w:val="007A4563"/>
    <w:rsid w:val="007A57E3"/>
    <w:rsid w:val="007C0A19"/>
    <w:rsid w:val="007C61B7"/>
    <w:rsid w:val="00816914"/>
    <w:rsid w:val="00831633"/>
    <w:rsid w:val="008404EE"/>
    <w:rsid w:val="00895E82"/>
    <w:rsid w:val="008B53CF"/>
    <w:rsid w:val="008C5190"/>
    <w:rsid w:val="008D1D7A"/>
    <w:rsid w:val="008D7983"/>
    <w:rsid w:val="008E1774"/>
    <w:rsid w:val="008F4ED5"/>
    <w:rsid w:val="00906679"/>
    <w:rsid w:val="0091333B"/>
    <w:rsid w:val="00924D89"/>
    <w:rsid w:val="00952A20"/>
    <w:rsid w:val="00962B6D"/>
    <w:rsid w:val="00963BB4"/>
    <w:rsid w:val="00971EAE"/>
    <w:rsid w:val="00975EE6"/>
    <w:rsid w:val="009A3D25"/>
    <w:rsid w:val="009B0617"/>
    <w:rsid w:val="009C1A10"/>
    <w:rsid w:val="009D10E8"/>
    <w:rsid w:val="009D65BD"/>
    <w:rsid w:val="009F7BDF"/>
    <w:rsid w:val="00A43962"/>
    <w:rsid w:val="00A52F69"/>
    <w:rsid w:val="00A66F74"/>
    <w:rsid w:val="00A94F59"/>
    <w:rsid w:val="00AA55B7"/>
    <w:rsid w:val="00AD42BC"/>
    <w:rsid w:val="00AE7975"/>
    <w:rsid w:val="00B15E79"/>
    <w:rsid w:val="00B25C3B"/>
    <w:rsid w:val="00B27A62"/>
    <w:rsid w:val="00B30440"/>
    <w:rsid w:val="00B309A8"/>
    <w:rsid w:val="00B46B7B"/>
    <w:rsid w:val="00B52F2E"/>
    <w:rsid w:val="00B54547"/>
    <w:rsid w:val="00B66863"/>
    <w:rsid w:val="00B8257D"/>
    <w:rsid w:val="00B844EA"/>
    <w:rsid w:val="00BA207D"/>
    <w:rsid w:val="00BB44BD"/>
    <w:rsid w:val="00BB6194"/>
    <w:rsid w:val="00BB7A53"/>
    <w:rsid w:val="00C17BEE"/>
    <w:rsid w:val="00C34C3C"/>
    <w:rsid w:val="00C41F80"/>
    <w:rsid w:val="00C44B9C"/>
    <w:rsid w:val="00C85609"/>
    <w:rsid w:val="00C921A2"/>
    <w:rsid w:val="00CA56AD"/>
    <w:rsid w:val="00CB1448"/>
    <w:rsid w:val="00CC0612"/>
    <w:rsid w:val="00CC19C7"/>
    <w:rsid w:val="00CD1289"/>
    <w:rsid w:val="00CD52E4"/>
    <w:rsid w:val="00CE23FA"/>
    <w:rsid w:val="00CF63C4"/>
    <w:rsid w:val="00D018C9"/>
    <w:rsid w:val="00D0522E"/>
    <w:rsid w:val="00D338CA"/>
    <w:rsid w:val="00D34BDA"/>
    <w:rsid w:val="00D41F94"/>
    <w:rsid w:val="00D61309"/>
    <w:rsid w:val="00D73688"/>
    <w:rsid w:val="00D7549F"/>
    <w:rsid w:val="00D77E57"/>
    <w:rsid w:val="00D81F9F"/>
    <w:rsid w:val="00D87B52"/>
    <w:rsid w:val="00DA2ED8"/>
    <w:rsid w:val="00DA790D"/>
    <w:rsid w:val="00DB4CF3"/>
    <w:rsid w:val="00DB5B9B"/>
    <w:rsid w:val="00DD0DC8"/>
    <w:rsid w:val="00DE201A"/>
    <w:rsid w:val="00DE620B"/>
    <w:rsid w:val="00DF3E49"/>
    <w:rsid w:val="00DF5290"/>
    <w:rsid w:val="00E6041A"/>
    <w:rsid w:val="00E83DD7"/>
    <w:rsid w:val="00E9591C"/>
    <w:rsid w:val="00EA26EC"/>
    <w:rsid w:val="00EB1D30"/>
    <w:rsid w:val="00EC5B3C"/>
    <w:rsid w:val="00EC6E68"/>
    <w:rsid w:val="00EC7CC5"/>
    <w:rsid w:val="00ED5549"/>
    <w:rsid w:val="00EE35FD"/>
    <w:rsid w:val="00EE6046"/>
    <w:rsid w:val="00EF2A76"/>
    <w:rsid w:val="00EF6255"/>
    <w:rsid w:val="00F01996"/>
    <w:rsid w:val="00F213F0"/>
    <w:rsid w:val="00F4277F"/>
    <w:rsid w:val="00F46CE2"/>
    <w:rsid w:val="00F63742"/>
    <w:rsid w:val="00FA7693"/>
    <w:rsid w:val="00FD0EE7"/>
    <w:rsid w:val="00FD50E0"/>
    <w:rsid w:val="00FE3F42"/>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cs-CZ"/>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cs-CZ"/>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0C4025"/>
    <w:rPr>
      <w:sz w:val="16"/>
      <w:szCs w:val="16"/>
    </w:rPr>
  </w:style>
  <w:style w:type="paragraph" w:styleId="Kommentartext">
    <w:name w:val="annotation text"/>
    <w:basedOn w:val="Standard"/>
    <w:link w:val="KommentartextZchn"/>
    <w:uiPriority w:val="99"/>
    <w:unhideWhenUsed/>
    <w:rsid w:val="000C4025"/>
    <w:pPr>
      <w:spacing w:line="240" w:lineRule="auto"/>
    </w:pPr>
    <w:rPr>
      <w:sz w:val="20"/>
      <w:szCs w:val="20"/>
    </w:rPr>
  </w:style>
  <w:style w:type="character" w:customStyle="1" w:styleId="KommentartextZchn">
    <w:name w:val="Kommentartext Zchn"/>
    <w:basedOn w:val="Absatz-Standardschriftart"/>
    <w:link w:val="Kommentartext"/>
    <w:uiPriority w:val="99"/>
    <w:rsid w:val="000C4025"/>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0C4025"/>
    <w:rPr>
      <w:b/>
      <w:bCs/>
    </w:rPr>
  </w:style>
  <w:style w:type="character" w:customStyle="1" w:styleId="KommentarthemaZchn">
    <w:name w:val="Kommentarthema Zchn"/>
    <w:basedOn w:val="KommentartextZchn"/>
    <w:link w:val="Kommentarthema"/>
    <w:uiPriority w:val="99"/>
    <w:semiHidden/>
    <w:rsid w:val="000C4025"/>
    <w:rPr>
      <w:rFonts w:ascii="Noto Sans" w:hAnsi="Noto Sans"/>
      <w:b/>
      <w:bCs/>
      <w:sz w:val="20"/>
      <w:szCs w:val="20"/>
    </w:rPr>
  </w:style>
  <w:style w:type="character" w:customStyle="1" w:styleId="cf01">
    <w:name w:val="cf01"/>
    <w:basedOn w:val="Absatz-Standardschriftart"/>
    <w:rsid w:val="009A3D25"/>
    <w:rPr>
      <w:rFonts w:ascii="Segoe UI" w:hAnsi="Segoe UI" w:cs="Segoe UI" w:hint="default"/>
      <w:sz w:val="18"/>
      <w:szCs w:val="18"/>
    </w:rPr>
  </w:style>
  <w:style w:type="paragraph" w:styleId="berarbeitung">
    <w:name w:val="Revision"/>
    <w:hidden/>
    <w:uiPriority w:val="99"/>
    <w:semiHidden/>
    <w:rsid w:val="00EE6046"/>
    <w:pPr>
      <w:spacing w:after="0" w:line="240" w:lineRule="auto"/>
    </w:pPr>
    <w:rPr>
      <w:rFonts w:ascii="Noto Sans" w:hAnsi="Noto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4137141">
      <w:bodyDiv w:val="1"/>
      <w:marLeft w:val="0"/>
      <w:marRight w:val="0"/>
      <w:marTop w:val="0"/>
      <w:marBottom w:val="0"/>
      <w:divBdr>
        <w:top w:val="none" w:sz="0" w:space="0" w:color="auto"/>
        <w:left w:val="none" w:sz="0" w:space="0" w:color="auto"/>
        <w:bottom w:val="none" w:sz="0" w:space="0" w:color="auto"/>
        <w:right w:val="none" w:sz="0" w:space="0" w:color="auto"/>
      </w:divBdr>
    </w:div>
    <w:div w:id="966012536">
      <w:bodyDiv w:val="1"/>
      <w:marLeft w:val="0"/>
      <w:marRight w:val="0"/>
      <w:marTop w:val="0"/>
      <w:marBottom w:val="0"/>
      <w:divBdr>
        <w:top w:val="none" w:sz="0" w:space="0" w:color="auto"/>
        <w:left w:val="none" w:sz="0" w:space="0" w:color="auto"/>
        <w:bottom w:val="none" w:sz="0" w:space="0" w:color="auto"/>
        <w:right w:val="none" w:sz="0" w:space="0" w:color="auto"/>
      </w:divBdr>
    </w:div>
    <w:div w:id="1025907157">
      <w:bodyDiv w:val="1"/>
      <w:marLeft w:val="0"/>
      <w:marRight w:val="0"/>
      <w:marTop w:val="0"/>
      <w:marBottom w:val="0"/>
      <w:divBdr>
        <w:top w:val="none" w:sz="0" w:space="0" w:color="auto"/>
        <w:left w:val="none" w:sz="0" w:space="0" w:color="auto"/>
        <w:bottom w:val="none" w:sz="0" w:space="0" w:color="auto"/>
        <w:right w:val="none" w:sz="0" w:space="0" w:color="auto"/>
      </w:divBdr>
      <w:divsChild>
        <w:div w:id="681905631">
          <w:marLeft w:val="360"/>
          <w:marRight w:val="0"/>
          <w:marTop w:val="200"/>
          <w:marBottom w:val="0"/>
          <w:divBdr>
            <w:top w:val="none" w:sz="0" w:space="0" w:color="auto"/>
            <w:left w:val="none" w:sz="0" w:space="0" w:color="auto"/>
            <w:bottom w:val="none" w:sz="0" w:space="0" w:color="auto"/>
            <w:right w:val="none" w:sz="0" w:space="0" w:color="auto"/>
          </w:divBdr>
        </w:div>
        <w:div w:id="41947937">
          <w:marLeft w:val="360"/>
          <w:marRight w:val="0"/>
          <w:marTop w:val="200"/>
          <w:marBottom w:val="0"/>
          <w:divBdr>
            <w:top w:val="none" w:sz="0" w:space="0" w:color="auto"/>
            <w:left w:val="none" w:sz="0" w:space="0" w:color="auto"/>
            <w:bottom w:val="none" w:sz="0" w:space="0" w:color="auto"/>
            <w:right w:val="none" w:sz="0" w:space="0" w:color="auto"/>
          </w:divBdr>
        </w:div>
        <w:div w:id="287127600">
          <w:marLeft w:val="360"/>
          <w:marRight w:val="0"/>
          <w:marTop w:val="200"/>
          <w:marBottom w:val="0"/>
          <w:divBdr>
            <w:top w:val="none" w:sz="0" w:space="0" w:color="auto"/>
            <w:left w:val="none" w:sz="0" w:space="0" w:color="auto"/>
            <w:bottom w:val="none" w:sz="0" w:space="0" w:color="auto"/>
            <w:right w:val="none" w:sz="0" w:space="0" w:color="auto"/>
          </w:divBdr>
        </w:div>
        <w:div w:id="683938180">
          <w:marLeft w:val="360"/>
          <w:marRight w:val="0"/>
          <w:marTop w:val="200"/>
          <w:marBottom w:val="0"/>
          <w:divBdr>
            <w:top w:val="none" w:sz="0" w:space="0" w:color="auto"/>
            <w:left w:val="none" w:sz="0" w:space="0" w:color="auto"/>
            <w:bottom w:val="none" w:sz="0" w:space="0" w:color="auto"/>
            <w:right w:val="none" w:sz="0" w:space="0" w:color="auto"/>
          </w:divBdr>
        </w:div>
        <w:div w:id="2023701524">
          <w:marLeft w:val="360"/>
          <w:marRight w:val="0"/>
          <w:marTop w:val="200"/>
          <w:marBottom w:val="0"/>
          <w:divBdr>
            <w:top w:val="none" w:sz="0" w:space="0" w:color="auto"/>
            <w:left w:val="none" w:sz="0" w:space="0" w:color="auto"/>
            <w:bottom w:val="none" w:sz="0" w:space="0" w:color="auto"/>
            <w:right w:val="none" w:sz="0" w:space="0" w:color="auto"/>
          </w:divBdr>
        </w:div>
        <w:div w:id="554897324">
          <w:marLeft w:val="360"/>
          <w:marRight w:val="0"/>
          <w:marTop w:val="200"/>
          <w:marBottom w:val="0"/>
          <w:divBdr>
            <w:top w:val="none" w:sz="0" w:space="0" w:color="auto"/>
            <w:left w:val="none" w:sz="0" w:space="0" w:color="auto"/>
            <w:bottom w:val="none" w:sz="0" w:space="0" w:color="auto"/>
            <w:right w:val="none" w:sz="0" w:space="0" w:color="auto"/>
          </w:divBdr>
        </w:div>
      </w:divsChild>
    </w:div>
    <w:div w:id="2047638787">
      <w:bodyDiv w:val="1"/>
      <w:marLeft w:val="0"/>
      <w:marRight w:val="0"/>
      <w:marTop w:val="0"/>
      <w:marBottom w:val="0"/>
      <w:divBdr>
        <w:top w:val="none" w:sz="0" w:space="0" w:color="auto"/>
        <w:left w:val="none" w:sz="0" w:space="0" w:color="auto"/>
        <w:bottom w:val="none" w:sz="0" w:space="0" w:color="auto"/>
        <w:right w:val="none" w:sz="0" w:space="0" w:color="auto"/>
      </w:divBdr>
    </w:div>
    <w:div w:id="2073382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mailto:rke@a1kommunikation.de" TargetMode="External"/><Relationship Id="rId18"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customXml" Target="../customXml/item3.xml"/><Relationship Id="rId7" Type="http://schemas.openxmlformats.org/officeDocument/2006/relationships/hyperlink" Target="https://solar.htw-berlin.de/studien/stromspeicher-inspektion-2023/" TargetMode="External"/><Relationship Id="rId12" Type="http://schemas.openxmlformats.org/officeDocument/2006/relationships/hyperlink" Target="mailto:Kocalova.Jitka@fronius.co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schartner.andrea@fronius.com" TargetMode="External"/><Relationship Id="rId5" Type="http://schemas.openxmlformats.org/officeDocument/2006/relationships/footnotes" Target="footnotes.xml"/><Relationship Id="rId15" Type="http://schemas.openxmlformats.org/officeDocument/2006/relationships/header" Target="header1.xml"/><Relationship Id="rId23" Type="http://schemas.openxmlformats.org/officeDocument/2006/relationships/customXml" Target="../customXml/item5.xml"/><Relationship Id="rId10" Type="http://schemas.openxmlformats.org/officeDocument/2006/relationships/image" Target="media/image3.jpeg"/><Relationship Id="rId19"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mailto:cancellation@fronius.com" TargetMode="External"/><Relationship Id="rId22"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Stromspeicherinspektion 2023/02</title_TI_DE>
    <title_TI_NO xmlns="dc0c2c3d-e9fc-4a0d-820b-87ab82e65f20">Pressrelease Energy storage inspection 2023/02 CS</title_TI_NO>
    <Documenttype_PT xmlns="dc0c2c3d-e9fc-4a0d-820b-87ab82e65f20">Comunicado à imprensa</Documenttype_PT>
    <Documenttype_RU xmlns="dc0c2c3d-e9fc-4a0d-820b-87ab82e65f20">Пресс-релиз</Documenttype_RU>
    <title_TI_TR xmlns="dc0c2c3d-e9fc-4a0d-820b-87ab82e65f20">Pressrelease Energy storage inspection 2023/02 CS</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Pressrelease Energy storage inspection 2023/02 CS</title_TI_TH>
    <Licence_x0020_information xmlns="dc0c2c3d-e9fc-4a0d-820b-87ab82e65f20">(c) Fronius International</Licence_x0020_information>
    <title_TI_EA xmlns="dc0c2c3d-e9fc-4a0d-820b-87ab82e65f20">Pressrelease Energy storage inspection 2023/02 CS</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#CS</TermName>
          <TermId xmlns="http://schemas.microsoft.com/office/infopath/2007/PartnerControls">05a665d3-326a-4de0-af4a-24a782e32e1b</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Pressrelease Energy storage inspection 2023/02 CS</title_TI_DA>
    <Documenttype_TR xmlns="dc0c2c3d-e9fc-4a0d-820b-87ab82e65f20">Basın bülteni</Documenttype_TR>
    <title_TI_PL xmlns="dc0c2c3d-e9fc-4a0d-820b-87ab82e65f20">Pressrelease Energy storage inspection 2023/02 CS</title_TI_PL>
    <Documenttype_TH xmlns="dc0c2c3d-e9fc-4a0d-820b-87ab82e65f20">ข่าวประชาสัมพันธ์</Documenttype_TH>
    <title_TI_EL xmlns="dc0c2c3d-e9fc-4a0d-820b-87ab82e65f20">Pressrelease Energy storage inspection 2023/02 CS</title_TI_EL>
    <Documenttype_EA xmlns="dc0c2c3d-e9fc-4a0d-820b-87ab82e65f20">Press Release</Documenttype_EA>
    <Web_x0020_Display_x0020_Title_x0020_ET xmlns="dc0c2c3d-e9fc-4a0d-820b-87ab82e65f20">Pressrelease Energy storage inspection 2023/02 CS</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Pressrelease Energy storage inspection 2023/02 CS</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Pressrelease Energy storage inspection 2023/02 CS</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C-138971</FileMaster>
    <title_TI_NL xmlns="dc0c2c3d-e9fc-4a0d-820b-87ab82e65f20">Pressrelease Energy storage inspection 2023/02 CS</title_TI_NL>
    <contentservId xmlns="c4543867-fb67-4424-a255-4d54d75e50e3">C-138970</contentservId>
    <title_TI_IT xmlns="dc0c2c3d-e9fc-4a0d-820b-87ab82e65f20">Pressrelease Energy storage inspection 2023/02 CS</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Pressrelease Energy storage inspection 2023/02 CS</title_TI_UA>
    <title_TI_JP xmlns="dc0c2c3d-e9fc-4a0d-820b-87ab82e65f20">Pressrelease Energy storage inspection 2023/02 CS</title_TI_JP>
    <Documenttype_NL xmlns="dc0c2c3d-e9fc-4a0d-820b-87ab82e65f20">Persbericht</Documenttype_NL>
    <title_TI_RO xmlns="dc0c2c3d-e9fc-4a0d-820b-87ab82e65f20">Pressrelease Energy storage inspection 2023/02 CS</title_TI_RO>
    <Documenttype_NB xmlns="c4543867-fb67-4424-a255-4d54d75e50e3">Presseinformasjon</Documenttype_NB>
    <title_ti_nb xmlns="dc0c2c3d-e9fc-4a0d-820b-87ab82e65f20" xsi:nil="true"/>
    <title_TI_ES xmlns="dc0c2c3d-e9fc-4a0d-820b-87ab82e65f20">Pressrelease Energy storage inspection 2023/02 CS</title_TI_ES>
    <title_TI_JA xmlns="dc0c2c3d-e9fc-4a0d-820b-87ab82e65f20">Pressrelease Energy storage inspection 2023/02 CS</title_TI_JA>
    <Documenttype_IT xmlns="dc0c2c3d-e9fc-4a0d-820b-87ab82e65f20">Comunicato stampa</Documenttype_IT>
    <Documenttype_ZH xmlns="dc0c2c3d-e9fc-4a0d-820b-87ab82e65f20">Press Release</Documenttype_ZH>
    <TaxCatchAll xmlns="92f60987-cbcc-4245-baaf-239af3bfd6e8">
      <Value>260</Value>
      <Value>1</Value>
    </TaxCatchAll>
    <AGB xmlns="dc0c2c3d-e9fc-4a0d-820b-87ab82e65f20">false</AGB>
    <title_TI_EN xmlns="dc0c2c3d-e9fc-4a0d-820b-87ab82e65f20">Pressrelease Energy storage inspection 2023/02 CS</title_TI_EN>
    <MRMKeyWords xmlns="dc0c2c3d-e9fc-4a0d-820b-87ab82e65f20">#Presse#Solar Energy#Symo#Primo#Presseaussendung#Fronius#Unternehmen#GEN24#GEN24 Plus#Stromspeicherinspektion#Gewinner#press#press release#Company#Energy Storage Inspection#Winner#</MRMKeyWords>
    <title_ti_zh xmlns="dc0c2c3d-e9fc-4a0d-820b-87ab82e65f20">Pressrelease Energy storage inspection 2023/02 CS</title_ti_zh>
    <MRMID xmlns="dc0c2c3d-e9fc-4a0d-820b-87ab82e65f20">M-200462</MRMID>
    <Documenttype_UK xmlns="c4543867-fb67-4424-a255-4d54d75e50e3">Прес-релізи</Documenttype_UK>
    <title_TI_SK xmlns="dc0c2c3d-e9fc-4a0d-820b-87ab82e65f20">Pressrelease Energy storage inspection 2023/02 CS</title_TI_SK>
    <Documenttype_UA xmlns="dc0c2c3d-e9fc-4a0d-820b-87ab82e65f20">Прес-релізи</Documenttype_UA>
    <title_TI_HU xmlns="dc0c2c3d-e9fc-4a0d-820b-87ab82e65f20">Pressrelease Energy storage inspection 2023/02 CS</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Pressrelease Energy storage inspection 2023/02 CS</title_TI_PT>
    <title_ti_fi xmlns="dc0c2c3d-e9fc-4a0d-820b-87ab82e65f20">Pressrelease Energy storage inspection 2023/02 CS</title_ti_fi>
    <Country xmlns="dc0c2c3d-e9fc-4a0d-820b-87ab82e65f20">
      <Value>23</Value>
      <Value>44</Value>
      <Value>54</Value>
      <Value>55</Value>
      <Value>56</Value>
      <Value>57</Value>
      <Value>58</Value>
      <Value>59</Value>
      <Value>60</Value>
      <Value>61</Value>
      <Value>62</Value>
      <Value>63</Value>
      <Value>64</Value>
      <Value>65</Value>
      <Value>66</Value>
      <Value>6</Value>
      <Value>5</Value>
      <Value>67</Value>
      <Value>68</Value>
      <Value>69</Value>
      <Value>70</Value>
      <Value>71</Value>
      <Value>72</Value>
      <Value>7</Value>
      <Value>73</Value>
      <Value>74</Value>
      <Value>75</Value>
      <Value>76</Value>
      <Value>77</Value>
      <Value>78</Value>
      <Value>79</Value>
      <Value>80</Value>
      <Value>81</Value>
      <Value>8</Value>
      <Value>82</Value>
      <Value>83</Value>
      <Value>9</Value>
      <Value>84</Value>
      <Value>85</Value>
      <Value>86</Value>
      <Value>87</Value>
      <Value>10</Value>
      <Value>88</Value>
      <Value>89</Value>
      <Value>90</Value>
      <Value>91</Value>
      <Value>92</Value>
      <Value>93</Value>
      <Value>94</Value>
      <Value>11</Value>
      <Value>95</Value>
      <Value>96</Value>
      <Value>97</Value>
      <Value>98</Value>
      <Value>99</Value>
      <Value>100</Value>
      <Value>101</Value>
      <Value>102</Value>
      <Value>12</Value>
      <Value>103</Value>
      <Value>104</Value>
      <Value>105</Value>
      <Value>13</Value>
      <Value>15</Value>
      <Value>106</Value>
      <Value>107</Value>
      <Value>108</Value>
      <Value>109</Value>
      <Value>110</Value>
      <Value>111</Value>
      <Value>112</Value>
      <Value>113</Value>
      <Value>51</Value>
      <Value>114</Value>
      <Value>115</Value>
      <Value>116</Value>
      <Value>117</Value>
      <Value>16</Value>
      <Value>17</Value>
      <Value>118</Value>
      <Value>119</Value>
      <Value>120</Value>
      <Value>121</Value>
      <Value>122</Value>
      <Value>18</Value>
      <Value>123</Value>
      <Value>124</Value>
      <Value>19</Value>
      <Value>125</Value>
      <Value>126</Value>
      <Value>127</Value>
      <Value>128</Value>
      <Value>129</Value>
      <Value>130</Value>
      <Value>131</Value>
      <Value>132</Value>
      <Value>133</Value>
      <Value>134</Value>
      <Value>135</Value>
      <Value>136</Value>
      <Value>137</Value>
      <Value>20</Value>
      <Value>138</Value>
      <Value>21</Value>
      <Value>139</Value>
      <Value>140</Value>
      <Value>141</Value>
      <Value>142</Value>
      <Value>24</Value>
      <Value>22</Value>
      <Value>143</Value>
      <Value>144</Value>
      <Value>25</Value>
      <Value>145</Value>
      <Value>146</Value>
      <Value>147</Value>
      <Value>148</Value>
      <Value>149</Value>
      <Value>150</Value>
      <Value>151</Value>
      <Value>152</Value>
      <Value>153</Value>
      <Value>154</Value>
      <Value>155</Value>
      <Value>156</Value>
      <Value>157</Value>
      <Value>158</Value>
      <Value>27</Value>
      <Value>159</Value>
      <Value>160</Value>
      <Value>161</Value>
      <Value>162</Value>
      <Value>163</Value>
      <Value>164</Value>
      <Value>165</Value>
      <Value>166</Value>
      <Value>167</Value>
      <Value>168</Value>
      <Value>169</Value>
      <Value>170</Value>
      <Value>171</Value>
      <Value>172</Value>
      <Value>173</Value>
      <Value>28</Value>
      <Value>174</Value>
      <Value>175</Value>
      <Value>176</Value>
      <Value>177</Value>
      <Value>178</Value>
      <Value>179</Value>
      <Value>180</Value>
      <Value>181</Value>
      <Value>182</Value>
      <Value>183</Value>
      <Value>184</Value>
      <Value>185</Value>
      <Value>29</Value>
      <Value>50</Value>
      <Value>186</Value>
      <Value>187</Value>
      <Value>188</Value>
      <Value>189</Value>
      <Value>190</Value>
      <Value>191</Value>
      <Value>192</Value>
      <Value>30</Value>
      <Value>195</Value>
      <Value>196</Value>
      <Value>47</Value>
      <Value>197</Value>
      <Value>198</Value>
      <Value>199</Value>
      <Value>200</Value>
      <Value>201</Value>
      <Value>202</Value>
      <Value>203</Value>
      <Value>204</Value>
      <Value>205</Value>
      <Value>31</Value>
      <Value>32</Value>
      <Value>206</Value>
      <Value>207</Value>
      <Value>208</Value>
      <Value>33</Value>
      <Value>34</Value>
      <Value>209</Value>
      <Value>210</Value>
      <Value>211</Value>
      <Value>212</Value>
      <Value>213</Value>
      <Value>214</Value>
      <Value>215</Value>
      <Value>216</Value>
      <Value>217</Value>
      <Value>218</Value>
      <Value>219</Value>
      <Value>35</Value>
      <Value>220</Value>
      <Value>221</Value>
      <Value>222</Value>
      <Value>36</Value>
      <Value>37</Value>
      <Value>223</Value>
      <Value>224</Value>
      <Value>53</Value>
      <Value>225</Value>
      <Value>26</Value>
      <Value>38</Value>
      <Value>226</Value>
      <Value>227</Value>
      <Value>228</Value>
      <Value>229</Value>
      <Value>230</Value>
      <Value>231</Value>
      <Value>232</Value>
      <Value>39</Value>
      <Value>40</Value>
      <Value>233</Value>
      <Value>234</Value>
      <Value>235</Value>
      <Value>236</Value>
      <Value>237</Value>
      <Value>41</Value>
      <Value>238</Value>
      <Value>239</Value>
      <Value>240</Value>
      <Value>241</Value>
      <Value>242</Value>
      <Value>243</Value>
      <Value>42</Value>
      <Value>244</Value>
      <Value>245</Value>
      <Value>246</Value>
      <Value>247</Value>
      <Value>43</Value>
      <Value>248</Value>
      <Value>249</Value>
      <Value>250</Value>
      <Value>46</Value>
      <Value>251</Value>
      <Value>252</Value>
      <Value>253</Value>
      <Value>254</Value>
      <Value>255</Value>
      <Value>256</Value>
      <Value>257</Value>
      <Value>258</Value>
      <Value>259</Value>
      <Value>260</Value>
    </Country>
    <fro_spid xmlns="dc0c2c3d-e9fc-4a0d-820b-87ab82e65f20">9254;SE</fro_spid>
    <title_TI_RU xmlns="dc0c2c3d-e9fc-4a0d-820b-87ab82e65f20">Pressrelease Energy storage inspection 2023/02 CS</title_TI_RU>
    <Documenttype_JA xmlns="dc0c2c3d-e9fc-4a0d-820b-87ab82e65f20">ニュースリリース</Documenttype_JA>
    <Colour_x0020_space xmlns="dc0c2c3d-e9fc-4a0d-820b-87ab82e65f20" xsi:nil="true"/>
    <title_TI_CS xmlns="dc0c2c3d-e9fc-4a0d-820b-87ab82e65f20">Pressrelease Energy storage inspection 2023/02 CS</title_TI_CS>
    <title_TI_AR xmlns="dc0c2c3d-e9fc-4a0d-820b-87ab82e65f20">Pressrelease Energy storage inspection 2023/02 CS</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EB33F943-8611-459A-A054-1354164D5D76}"/>
</file>

<file path=customXml/itemProps2.xml><?xml version="1.0" encoding="utf-8"?>
<ds:datastoreItem xmlns:ds="http://schemas.openxmlformats.org/officeDocument/2006/customXml" ds:itemID="{DF07B8F4-5656-4170-BF50-9E65F5201044}"/>
</file>

<file path=customXml/itemProps3.xml><?xml version="1.0" encoding="utf-8"?>
<ds:datastoreItem xmlns:ds="http://schemas.openxmlformats.org/officeDocument/2006/customXml" ds:itemID="{490257A5-1426-497E-9354-17C8C0EA2E2A}"/>
</file>

<file path=customXml/itemProps4.xml><?xml version="1.0" encoding="utf-8"?>
<ds:datastoreItem xmlns:ds="http://schemas.openxmlformats.org/officeDocument/2006/customXml" ds:itemID="{695A9578-F75F-4802-884B-F19C035B3DA4}"/>
</file>

<file path=customXml/itemProps5.xml><?xml version="1.0" encoding="utf-8"?>
<ds:datastoreItem xmlns:ds="http://schemas.openxmlformats.org/officeDocument/2006/customXml" ds:itemID="{913DBB6F-F507-4656-AFC4-3782E6F0C136}"/>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810</Words>
  <Characters>5103</Characters>
  <Application>Microsoft Office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SE_PR_Fronius_again_earns_top_rankings_2023_CS</dc:title>
  <dc:subject/>
  <dc:creator>Kneringer Daniel</dc:creator>
  <cp:keywords/>
  <dc:description/>
  <cp:lastModifiedBy>Majetic Kristina</cp:lastModifiedBy>
  <cp:revision>18</cp:revision>
  <cp:lastPrinted>2023-02-08T14:27:00Z</cp:lastPrinted>
  <dcterms:created xsi:type="dcterms:W3CDTF">2023-02-15T07:15:00Z</dcterms:created>
  <dcterms:modified xsi:type="dcterms:W3CDTF">2023-03-06T10:40:00Z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Market Segmentation">
    <vt:lpwstr/>
  </property>
  <property fmtid="{D5CDD505-2E9C-101B-9397-08002B2CF9AE}" pid="6" name="Service Levels TIM-RS">
    <vt:lpwstr/>
  </property>
  <property fmtid="{D5CDD505-2E9C-101B-9397-08002B2CF9AE}" pid="7" name="Products">
    <vt:lpwstr/>
  </property>
  <property fmtid="{D5CDD505-2E9C-101B-9397-08002B2CF9AE}" pid="8" name="fro_PartnerRoles">
    <vt:lpwstr/>
  </property>
  <property fmtid="{D5CDD505-2E9C-101B-9397-08002B2CF9AE}" pid="9" name="db07a75696b94569b570813d345bcf82">
    <vt:lpwstr/>
  </property>
  <property fmtid="{D5CDD505-2E9C-101B-9397-08002B2CF9AE}" pid="10" name="Language">
    <vt:lpwstr>260;##CS|05a665d3-326a-4de0-af4a-24a782e32e1b</vt:lpwstr>
  </property>
  <property fmtid="{D5CDD505-2E9C-101B-9397-08002B2CF9AE}" pid="11" name="FroConDoc_language">
    <vt:lpwstr>1;#DE|676160ea-61f7-4cef-8b4c-1724dec2206e</vt:lpwstr>
  </property>
</Properties>
</file>