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4EAFB9B" w14:textId="273A2B2D" w:rsidR="002D7A44" w:rsidRPr="00BE44BF" w:rsidRDefault="00ED5549" w:rsidP="00604BFB">
      <w:pPr>
        <w:pStyle w:val="Ttulo1"/>
        <w:jc w:val="both"/>
      </w:pPr>
      <w:r w:rsidRPr="00BE44BF">
        <w:t>Nota de prensa</w:t>
      </w:r>
    </w:p>
    <w:p w14:paraId="07CB8F03" w14:textId="06F6FC04" w:rsidR="00ED5549" w:rsidRPr="00BE44BF" w:rsidRDefault="0051114E" w:rsidP="00604BFB">
      <w:pPr>
        <w:jc w:val="both"/>
      </w:pPr>
      <w:r w:rsidRPr="00BE44BF">
        <w:rPr>
          <w:sz w:val="20"/>
        </w:rPr>
        <w:t>Solar Energy</w:t>
      </w:r>
    </w:p>
    <w:p w14:paraId="00F13E77" w14:textId="77777777" w:rsidR="00E83DD7" w:rsidRPr="00BE44BF" w:rsidRDefault="00E83DD7" w:rsidP="00604BFB">
      <w:pPr>
        <w:jc w:val="both"/>
        <w:rPr>
          <w:sz w:val="20"/>
          <w:szCs w:val="20"/>
        </w:rPr>
      </w:pPr>
    </w:p>
    <w:p w14:paraId="1FB9EC78" w14:textId="7A78A7AE" w:rsidR="0086534F" w:rsidRDefault="0086534F" w:rsidP="0086534F">
      <w:pPr>
        <w:rPr>
          <w:bCs/>
        </w:rPr>
      </w:pPr>
      <w:r w:rsidRPr="00BE44BF">
        <w:rPr>
          <w:color w:val="D73237"/>
          <w:sz w:val="36"/>
        </w:rPr>
        <w:t xml:space="preserve">Fronius </w:t>
      </w:r>
      <w:r w:rsidR="00077DDF">
        <w:rPr>
          <w:color w:val="D73237"/>
          <w:sz w:val="36"/>
        </w:rPr>
        <w:t xml:space="preserve">lanza la nueva serie de inversores </w:t>
      </w:r>
      <w:r w:rsidRPr="00BE44BF">
        <w:rPr>
          <w:color w:val="D73237"/>
          <w:sz w:val="36"/>
        </w:rPr>
        <w:t xml:space="preserve">GEN24 </w:t>
      </w:r>
      <w:r w:rsidRPr="00BE44BF">
        <w:rPr>
          <w:color w:val="D73237"/>
          <w:sz w:val="36"/>
        </w:rPr>
        <w:br/>
      </w:r>
      <w:r w:rsidRPr="006250E6">
        <w:rPr>
          <w:b/>
        </w:rPr>
        <w:t>Energía solar integral para la transición energética</w:t>
      </w:r>
    </w:p>
    <w:p w14:paraId="0B29A118" w14:textId="77777777" w:rsidR="006250E6" w:rsidRPr="006250E6" w:rsidRDefault="006250E6" w:rsidP="0086534F">
      <w:pPr>
        <w:rPr>
          <w:bCs/>
        </w:rPr>
      </w:pPr>
    </w:p>
    <w:p w14:paraId="3AB18C30" w14:textId="27FDD224" w:rsidR="0086534F" w:rsidRPr="006250E6" w:rsidRDefault="0086534F" w:rsidP="0086534F">
      <w:pPr>
        <w:rPr>
          <w:b/>
          <w:bCs/>
        </w:rPr>
      </w:pPr>
      <w:r w:rsidRPr="00BE44BF">
        <w:rPr>
          <w:i/>
        </w:rPr>
        <w:t>(</w:t>
      </w:r>
      <w:proofErr w:type="spellStart"/>
      <w:r w:rsidRPr="00BE44BF">
        <w:rPr>
          <w:i/>
        </w:rPr>
        <w:t>Wels</w:t>
      </w:r>
      <w:proofErr w:type="spellEnd"/>
      <w:r w:rsidRPr="00BE44BF">
        <w:rPr>
          <w:i/>
        </w:rPr>
        <w:t xml:space="preserve">, </w:t>
      </w:r>
      <w:r w:rsidR="006250E6">
        <w:rPr>
          <w:i/>
        </w:rPr>
        <w:t>2</w:t>
      </w:r>
      <w:r w:rsidR="002878B7">
        <w:rPr>
          <w:i/>
        </w:rPr>
        <w:t>9</w:t>
      </w:r>
      <w:r w:rsidR="006250E6">
        <w:rPr>
          <w:i/>
        </w:rPr>
        <w:t>/02</w:t>
      </w:r>
      <w:r w:rsidRPr="00BE44BF">
        <w:rPr>
          <w:i/>
        </w:rPr>
        <w:t>/202</w:t>
      </w:r>
      <w:r w:rsidR="00536054">
        <w:rPr>
          <w:i/>
        </w:rPr>
        <w:t>4</w:t>
      </w:r>
      <w:r w:rsidRPr="006250E6">
        <w:rPr>
          <w:i/>
        </w:rPr>
        <w:t xml:space="preserve">) </w:t>
      </w:r>
      <w:r w:rsidRPr="006250E6">
        <w:t xml:space="preserve">Fronius garantiza la máxima seguridad y un elevado autoconsumo en la generación de energía solar </w:t>
      </w:r>
      <w:r w:rsidR="004C3DE2">
        <w:t>gracias a</w:t>
      </w:r>
      <w:r w:rsidRPr="006250E6">
        <w:t xml:space="preserve"> s</w:t>
      </w:r>
      <w:r w:rsidR="006250E6" w:rsidRPr="006250E6">
        <w:t>us</w:t>
      </w:r>
      <w:r w:rsidRPr="006250E6">
        <w:t xml:space="preserve"> inversores de primera calidad</w:t>
      </w:r>
      <w:r w:rsidR="006250E6" w:rsidRPr="006250E6">
        <w:t xml:space="preserve">, cuya gama </w:t>
      </w:r>
      <w:r w:rsidR="00A57071">
        <w:t xml:space="preserve">es </w:t>
      </w:r>
      <w:r w:rsidR="006250E6" w:rsidRPr="006250E6">
        <w:t>ahora</w:t>
      </w:r>
      <w:r w:rsidR="004C3DE2">
        <w:t xml:space="preserve"> aún</w:t>
      </w:r>
      <w:r w:rsidR="006250E6" w:rsidRPr="006250E6">
        <w:t xml:space="preserve"> más amplia</w:t>
      </w:r>
      <w:r w:rsidR="00A57071">
        <w:t>,</w:t>
      </w:r>
      <w:r w:rsidR="006250E6" w:rsidRPr="006250E6">
        <w:t xml:space="preserve"> </w:t>
      </w:r>
      <w:r w:rsidR="004C3DE2">
        <w:t xml:space="preserve">con el </w:t>
      </w:r>
      <w:r w:rsidR="006250E6" w:rsidRPr="006250E6">
        <w:t xml:space="preserve">lanzamiento de la </w:t>
      </w:r>
      <w:r w:rsidR="004C3DE2">
        <w:t xml:space="preserve">nueva </w:t>
      </w:r>
      <w:r w:rsidR="006250E6" w:rsidRPr="006250E6">
        <w:t>serie</w:t>
      </w:r>
      <w:r w:rsidRPr="006250E6">
        <w:t xml:space="preserve"> Fronius GEN24.</w:t>
      </w:r>
    </w:p>
    <w:p w14:paraId="485BEA0C" w14:textId="6A3966BB" w:rsidR="0086534F" w:rsidRPr="00BE44BF" w:rsidRDefault="0086534F" w:rsidP="0086534F">
      <w:r w:rsidRPr="00BE44BF">
        <w:t>El corazón de toda instalación fotovoltaica es el inversor</w:t>
      </w:r>
      <w:r w:rsidR="006250E6">
        <w:t xml:space="preserve">, </w:t>
      </w:r>
      <w:r w:rsidR="004C3DE2">
        <w:t>el cual</w:t>
      </w:r>
      <w:r w:rsidR="006250E6">
        <w:t xml:space="preserve"> aprovecha </w:t>
      </w:r>
      <w:r w:rsidR="00A57071">
        <w:t xml:space="preserve">la energía del </w:t>
      </w:r>
      <w:r w:rsidRPr="00BE44BF">
        <w:t>sol al máximo y</w:t>
      </w:r>
      <w:r w:rsidR="00A57071">
        <w:t xml:space="preserve"> la</w:t>
      </w:r>
      <w:r w:rsidRPr="00BE44BF">
        <w:t xml:space="preserve"> suministra a los hogares de forma óptima y adaptada a las necesidades </w:t>
      </w:r>
      <w:r w:rsidR="006250E6">
        <w:t>particulares</w:t>
      </w:r>
      <w:r w:rsidRPr="00BE44BF">
        <w:t xml:space="preserve">. </w:t>
      </w:r>
      <w:r w:rsidR="006250E6">
        <w:t>B</w:t>
      </w:r>
      <w:r w:rsidR="006250E6" w:rsidRPr="006250E6">
        <w:t xml:space="preserve">asado en el inversor híbrido Fronius GEN24 Plus, el Fronius GEN24 es el último inversor Fronius para el </w:t>
      </w:r>
      <w:r w:rsidR="006250E6">
        <w:t>sector residencial.</w:t>
      </w:r>
      <w:r w:rsidRPr="00BE44BF">
        <w:t xml:space="preserve"> A primera vista, y con un nombre casi idéntico, ambos productos impresionan por la calidad Fronius y sus características </w:t>
      </w:r>
      <w:r w:rsidR="00077DDF">
        <w:t>únicas</w:t>
      </w:r>
      <w:r w:rsidR="006250E6">
        <w:t>.</w:t>
      </w:r>
    </w:p>
    <w:p w14:paraId="092EBBAF" w14:textId="11A84AB0" w:rsidR="0086534F" w:rsidRPr="00BE44BF" w:rsidRDefault="0086534F" w:rsidP="0086534F">
      <w:bookmarkStart w:id="0" w:name="_Hlk147819438"/>
      <w:r w:rsidRPr="00BE44BF">
        <w:t xml:space="preserve">El nuevo </w:t>
      </w:r>
      <w:r w:rsidRPr="00BE44BF">
        <w:rPr>
          <w:b/>
        </w:rPr>
        <w:t>Fronius GEN24</w:t>
      </w:r>
      <w:r w:rsidRPr="00BE44BF">
        <w:t xml:space="preserve"> es un inversor versátil con una función básica de energía de emergencia integrada, el PV Point. En caso de </w:t>
      </w:r>
      <w:r w:rsidR="006250E6">
        <w:t>corte eléctrico</w:t>
      </w:r>
      <w:r w:rsidRPr="00BE44BF">
        <w:t>, se puede utilizar un</w:t>
      </w:r>
      <w:r w:rsidR="006250E6">
        <w:t xml:space="preserve">a </w:t>
      </w:r>
      <w:r w:rsidR="00077DDF">
        <w:t>salida</w:t>
      </w:r>
      <w:r w:rsidR="006250E6">
        <w:t xml:space="preserve"> </w:t>
      </w:r>
      <w:r w:rsidR="004C3DE2">
        <w:t xml:space="preserve">protegida </w:t>
      </w:r>
      <w:r w:rsidRPr="00BE44BF">
        <w:t xml:space="preserve">independiente para alimentar </w:t>
      </w:r>
      <w:r w:rsidR="00A57071">
        <w:t>consumos</w:t>
      </w:r>
      <w:r w:rsidRPr="00BE44BF">
        <w:t>, como un</w:t>
      </w:r>
      <w:r w:rsidR="006250E6">
        <w:t xml:space="preserve">a radio </w:t>
      </w:r>
      <w:r w:rsidRPr="00BE44BF">
        <w:t xml:space="preserve">o </w:t>
      </w:r>
      <w:r w:rsidR="006250E6">
        <w:t xml:space="preserve">un cargador </w:t>
      </w:r>
      <w:r w:rsidRPr="00BE44BF">
        <w:t xml:space="preserve">de teléfono móvil, o incluso un pequeño circuito de hasta 3 kW, monofásico, sin componentes adicionales. </w:t>
      </w:r>
      <w:bookmarkEnd w:id="0"/>
      <w:r w:rsidR="00075E03">
        <w:t xml:space="preserve">Esto representa un </w:t>
      </w:r>
      <w:r w:rsidRPr="00BE44BF">
        <w:t xml:space="preserve">paso importante hacia la independencia y la autosuficiencia energética. "Con el </w:t>
      </w:r>
      <w:r w:rsidRPr="00BE44BF">
        <w:rPr>
          <w:i/>
        </w:rPr>
        <w:t xml:space="preserve">Fronius GEN24, nuestros clientes dependen menos de la red pública y, además, </w:t>
      </w:r>
      <w:r w:rsidR="004C3DE2">
        <w:rPr>
          <w:i/>
        </w:rPr>
        <w:t>ahorran significativamente</w:t>
      </w:r>
      <w:r w:rsidRPr="00BE44BF">
        <w:rPr>
          <w:i/>
        </w:rPr>
        <w:t>",</w:t>
      </w:r>
      <w:r w:rsidRPr="00BE44BF">
        <w:t xml:space="preserve"> afirma Leonhard </w:t>
      </w:r>
      <w:proofErr w:type="spellStart"/>
      <w:r w:rsidRPr="00BE44BF">
        <w:t>Peböck</w:t>
      </w:r>
      <w:proofErr w:type="spellEnd"/>
      <w:r w:rsidRPr="00BE44BF">
        <w:t>, Responsable de Marketing de Productos de Solar Energy en Fronius International GmbH</w:t>
      </w:r>
      <w:r w:rsidRPr="00BE44BF">
        <w:rPr>
          <w:i/>
        </w:rPr>
        <w:t xml:space="preserve">. "Nuestro inversor ofrece una solución eficiente para utilizar directamente la electricidad de </w:t>
      </w:r>
      <w:r w:rsidR="004C3DE2">
        <w:rPr>
          <w:i/>
        </w:rPr>
        <w:t>la</w:t>
      </w:r>
      <w:r w:rsidRPr="00BE44BF">
        <w:rPr>
          <w:i/>
        </w:rPr>
        <w:t xml:space="preserve"> propia instalación fotovoltaica mientras haya luz solar. En un momento en que los precios de la energía son volátiles, el GEN24 gana muchos puntos</w:t>
      </w:r>
      <w:r w:rsidRPr="00BE44BF">
        <w:t>".</w:t>
      </w:r>
    </w:p>
    <w:p w14:paraId="60E2DC93" w14:textId="22A1073D" w:rsidR="0086534F" w:rsidRPr="00BE44BF" w:rsidRDefault="0086534F" w:rsidP="0086534F">
      <w:r w:rsidRPr="00BE44BF">
        <w:t xml:space="preserve">Como inversor híbrido, el </w:t>
      </w:r>
      <w:r w:rsidRPr="00BE44BF">
        <w:rPr>
          <w:b/>
        </w:rPr>
        <w:t>Fronius GEN24 Plus</w:t>
      </w:r>
      <w:r w:rsidRPr="00BE44BF">
        <w:t xml:space="preserve">, junto con una batería, permite almacenar y consumir el excedente de energía solar autogenerada incluso en horas en las que hay poco o nada de sol (por la noche), llevando 24 horas de sol al hogar. Gracias a la opción de energía de emergencia Full </w:t>
      </w:r>
      <w:proofErr w:type="spellStart"/>
      <w:r w:rsidRPr="00BE44BF">
        <w:t>Backup</w:t>
      </w:r>
      <w:proofErr w:type="spellEnd"/>
      <w:r w:rsidRPr="00BE44BF">
        <w:t>, todo el hogar, incluso los grandes consum</w:t>
      </w:r>
      <w:r w:rsidR="004C3DE2">
        <w:t>os</w:t>
      </w:r>
      <w:r w:rsidRPr="00BE44BF">
        <w:t xml:space="preserve">, siguen recibiendo </w:t>
      </w:r>
      <w:r w:rsidR="004C3DE2">
        <w:t>energía</w:t>
      </w:r>
      <w:r w:rsidRPr="00BE44BF">
        <w:t xml:space="preserve"> de forma fiable en caso de fallo de la red eléctrica.</w:t>
      </w:r>
    </w:p>
    <w:p w14:paraId="7A34CF7C" w14:textId="702583AD" w:rsidR="0086534F" w:rsidRPr="00A57013" w:rsidRDefault="0086534F" w:rsidP="004C3DE2">
      <w:pPr>
        <w:ind w:left="708" w:hanging="708"/>
      </w:pPr>
      <w:r w:rsidRPr="00BE44BF">
        <w:rPr>
          <w:color w:val="D73237"/>
          <w:sz w:val="28"/>
        </w:rPr>
        <w:t xml:space="preserve">Una actualización de software para </w:t>
      </w:r>
      <w:r w:rsidR="00077DDF">
        <w:rPr>
          <w:color w:val="D73237"/>
          <w:sz w:val="28"/>
        </w:rPr>
        <w:t>convertirse en</w:t>
      </w:r>
      <w:r w:rsidRPr="00BE44BF">
        <w:rPr>
          <w:color w:val="D73237"/>
          <w:sz w:val="28"/>
        </w:rPr>
        <w:t xml:space="preserve"> inversor híbrido</w:t>
      </w:r>
      <w:r w:rsidRPr="00BE44BF">
        <w:rPr>
          <w:color w:val="D73237"/>
          <w:sz w:val="28"/>
        </w:rPr>
        <w:br/>
      </w:r>
      <w:r w:rsidRPr="00A57013">
        <w:t>Primero la in</w:t>
      </w:r>
      <w:r w:rsidR="004C3DE2">
        <w:t>s</w:t>
      </w:r>
      <w:r w:rsidRPr="00A57013">
        <w:t xml:space="preserve">talación fotovoltaica, después una solución energética global: En un abrir y cerrar de ojos, el Fronius GEN24 se convierte en un inversor híbrido con una opción adicional de energía de emergencia completa y la posibilidad de conectarse a un sistema de almacenamiento </w:t>
      </w:r>
      <w:r w:rsidR="00077DDF">
        <w:t>por</w:t>
      </w:r>
      <w:r w:rsidRPr="00A57013">
        <w:t xml:space="preserve"> batería. Esto es posible gracias a Fronius </w:t>
      </w:r>
      <w:proofErr w:type="spellStart"/>
      <w:proofErr w:type="gramStart"/>
      <w:r w:rsidRPr="00A57013">
        <w:t>UP.storage</w:t>
      </w:r>
      <w:proofErr w:type="spellEnd"/>
      <w:proofErr w:type="gramEnd"/>
      <w:r w:rsidRPr="00A57013">
        <w:t>, la innovadora actualización de software de Fronius</w:t>
      </w:r>
      <w:r w:rsidR="004C3DE2">
        <w:t xml:space="preserve">, que </w:t>
      </w:r>
      <w:r w:rsidR="00077DDF">
        <w:lastRenderedPageBreak/>
        <w:t>hace</w:t>
      </w:r>
      <w:r w:rsidRPr="00A57013">
        <w:t xml:space="preserve"> que el Fronius GEN24 esté preparado para el futuro y, por tanto, sea un compañero ideal para el camino hacia la transición energética.</w:t>
      </w:r>
    </w:p>
    <w:p w14:paraId="5708D150" w14:textId="08CFF7FE" w:rsidR="0086534F" w:rsidRPr="00BE44BF" w:rsidRDefault="0086534F" w:rsidP="0086534F">
      <w:pPr>
        <w:rPr>
          <w:i/>
          <w:iCs/>
        </w:rPr>
      </w:pPr>
      <w:r w:rsidRPr="00BE44BF">
        <w:rPr>
          <w:color w:val="D73237"/>
          <w:sz w:val="28"/>
        </w:rPr>
        <w:t>Versatilidad incluida</w:t>
      </w:r>
      <w:r w:rsidRPr="00BE44BF">
        <w:rPr>
          <w:color w:val="D73237"/>
          <w:sz w:val="28"/>
        </w:rPr>
        <w:br/>
      </w:r>
      <w:r w:rsidR="0056335A">
        <w:t>Y</w:t>
      </w:r>
      <w:r w:rsidR="0056335A" w:rsidRPr="0056335A">
        <w:t xml:space="preserve">a sea </w:t>
      </w:r>
      <w:r w:rsidR="0056335A">
        <w:t>tumbado</w:t>
      </w:r>
      <w:r w:rsidR="0056335A" w:rsidRPr="0056335A">
        <w:t xml:space="preserve">, colgado o colocado en un soporte de montaje específico, y tanto en interiores como en exteriores, el Fronius GEN24 es un auténtico </w:t>
      </w:r>
      <w:r w:rsidR="002D587E">
        <w:t>“</w:t>
      </w:r>
      <w:r w:rsidR="0056335A" w:rsidRPr="0056335A">
        <w:t>todoterreno</w:t>
      </w:r>
      <w:r w:rsidR="002D587E">
        <w:t>”</w:t>
      </w:r>
      <w:r w:rsidR="0056335A" w:rsidRPr="0056335A">
        <w:t xml:space="preserve"> que ofrece una flexibilidad de diseño total incluso en condiciones difíciles.</w:t>
      </w:r>
      <w:r w:rsidR="0056335A">
        <w:t xml:space="preserve"> </w:t>
      </w:r>
      <w:r w:rsidRPr="00BE44BF">
        <w:t>"</w:t>
      </w:r>
      <w:r w:rsidRPr="00BE44BF">
        <w:rPr>
          <w:i/>
        </w:rPr>
        <w:t xml:space="preserve">De este modo, no importa si el tejado tiene superficies orientadas de forma diferente o pequeñas, ya que se pueden utilizar de forma óptima para la generación de energía. Gracias al algoritmo de sombra integrado (el Dynamic </w:t>
      </w:r>
      <w:proofErr w:type="spellStart"/>
      <w:r w:rsidRPr="00BE44BF">
        <w:rPr>
          <w:i/>
        </w:rPr>
        <w:t>Peak</w:t>
      </w:r>
      <w:proofErr w:type="spellEnd"/>
      <w:r w:rsidRPr="00BE44BF">
        <w:rPr>
          <w:i/>
        </w:rPr>
        <w:t xml:space="preserve"> Manager) se consigue el máximo rendimiento incluso si hay sombra parcial", </w:t>
      </w:r>
      <w:r w:rsidRPr="004C3DE2">
        <w:rPr>
          <w:iCs/>
        </w:rPr>
        <w:t xml:space="preserve">continúa </w:t>
      </w:r>
      <w:proofErr w:type="spellStart"/>
      <w:r w:rsidRPr="004C3DE2">
        <w:rPr>
          <w:iCs/>
        </w:rPr>
        <w:t>Peböck</w:t>
      </w:r>
      <w:proofErr w:type="spellEnd"/>
      <w:r w:rsidRPr="004C3DE2">
        <w:rPr>
          <w:iCs/>
        </w:rPr>
        <w:t>.</w:t>
      </w:r>
    </w:p>
    <w:p w14:paraId="0852E147" w14:textId="3D640C48" w:rsidR="0086534F" w:rsidRPr="00BE44BF" w:rsidRDefault="0086534F" w:rsidP="0086534F">
      <w:pPr>
        <w:rPr>
          <w:b/>
          <w:bCs/>
        </w:rPr>
      </w:pPr>
      <w:r w:rsidRPr="00BE44BF">
        <w:rPr>
          <w:color w:val="D73237"/>
          <w:sz w:val="28"/>
        </w:rPr>
        <w:t xml:space="preserve">Centrado en la </w:t>
      </w:r>
      <w:r w:rsidR="00077DDF">
        <w:rPr>
          <w:color w:val="D73237"/>
          <w:sz w:val="28"/>
        </w:rPr>
        <w:t>s</w:t>
      </w:r>
      <w:r w:rsidRPr="00BE44BF">
        <w:rPr>
          <w:color w:val="D73237"/>
          <w:sz w:val="28"/>
        </w:rPr>
        <w:t>ostenibilidad</w:t>
      </w:r>
      <w:r w:rsidRPr="00BE44BF">
        <w:rPr>
          <w:color w:val="D73237"/>
          <w:sz w:val="28"/>
        </w:rPr>
        <w:br/>
      </w:r>
      <w:r w:rsidRPr="00BE44BF">
        <w:t xml:space="preserve">El Fronius GEN24 impresiona por las reconocidas características de los inversores Fronius, como la tecnología de refrigeración activa para un </w:t>
      </w:r>
      <w:r w:rsidR="00077DDF">
        <w:t xml:space="preserve">continuado </w:t>
      </w:r>
      <w:r w:rsidR="004C3DE2">
        <w:t xml:space="preserve">alto </w:t>
      </w:r>
      <w:r w:rsidRPr="00BE44BF">
        <w:t>rendimiento incluso a altas temperaturas</w:t>
      </w:r>
      <w:r w:rsidR="00077DDF">
        <w:t>,</w:t>
      </w:r>
      <w:r w:rsidR="004C3DE2">
        <w:t xml:space="preserve"> </w:t>
      </w:r>
      <w:r w:rsidR="00077DDF">
        <w:t xml:space="preserve">o </w:t>
      </w:r>
      <w:r w:rsidRPr="00BE44BF">
        <w:t>la arquitectura del sistema abierto, que permite una fácil integración de componentes adicionales como sistemas de domótica. Además, los distintos componentes pueden sustituirse y repararse fácilmente si fuese necesario</w:t>
      </w:r>
      <w:r w:rsidR="00077DDF">
        <w:t>; de</w:t>
      </w:r>
      <w:r w:rsidRPr="00BE44BF">
        <w:t xml:space="preserve"> este modo, tanto el consumo de recursos como la huella de carbono se mantienen a un nivel extremadamente bajo, lo que confirma el análisis del ciclo de vida (</w:t>
      </w:r>
      <w:r w:rsidR="004C3DE2">
        <w:t>LCA</w:t>
      </w:r>
      <w:r w:rsidRPr="00BE44BF">
        <w:t>) del inversor sostenible Fronius "</w:t>
      </w:r>
      <w:proofErr w:type="spellStart"/>
      <w:r w:rsidRPr="00BE44BF">
        <w:t>Made</w:t>
      </w:r>
      <w:proofErr w:type="spellEnd"/>
      <w:r w:rsidRPr="00BE44BF">
        <w:t xml:space="preserve"> in </w:t>
      </w:r>
      <w:proofErr w:type="spellStart"/>
      <w:r w:rsidRPr="00BE44BF">
        <w:t>Europe</w:t>
      </w:r>
      <w:proofErr w:type="spellEnd"/>
      <w:r w:rsidRPr="00BE44BF">
        <w:t>".</w:t>
      </w:r>
    </w:p>
    <w:p w14:paraId="6E9913E4" w14:textId="2C6A25C1" w:rsidR="0086534F" w:rsidRPr="00BE44BF" w:rsidRDefault="0086534F" w:rsidP="0086534F">
      <w:r w:rsidRPr="00BE44BF">
        <w:rPr>
          <w:i/>
        </w:rPr>
        <w:t xml:space="preserve">"Fronius es sinónimo de sistemas energéticos integrales con la menor huella de carbono. La sostenibilidad de nuestros productos nos distingue de la competencia. Somos pioneros en el sector, tanto por el nivel de detalle como por la coherencia del </w:t>
      </w:r>
      <w:r w:rsidR="004C3DE2">
        <w:rPr>
          <w:i/>
        </w:rPr>
        <w:t>LCA</w:t>
      </w:r>
      <w:r w:rsidRPr="00BE44BF">
        <w:rPr>
          <w:i/>
        </w:rPr>
        <w:t>. Con el Fronius GEN24, hemos logrado una vez más ofrecer a nuestros clientes el mejor apoyo posible para llevar a cabo su propia transición energética</w:t>
      </w:r>
      <w:r w:rsidRPr="00BE44BF">
        <w:t xml:space="preserve">", afirma Martin </w:t>
      </w:r>
      <w:proofErr w:type="spellStart"/>
      <w:r w:rsidRPr="00BE44BF">
        <w:t>Hackl</w:t>
      </w:r>
      <w:proofErr w:type="spellEnd"/>
      <w:r w:rsidRPr="00BE44BF">
        <w:t>, Director Global de Marketing y Ventas, Unidad de negocio Solar Energy, Fronius International GmbH.</w:t>
      </w:r>
    </w:p>
    <w:p w14:paraId="307F70B2" w14:textId="77777777" w:rsidR="0086534F" w:rsidRPr="00BE44BF" w:rsidRDefault="0086534F" w:rsidP="0086534F"/>
    <w:p w14:paraId="33DED41C" w14:textId="00589586" w:rsidR="00A57013" w:rsidRPr="00703668" w:rsidRDefault="00A57013" w:rsidP="00A57013">
      <w:pPr>
        <w:rPr>
          <w:szCs w:val="20"/>
        </w:rPr>
      </w:pPr>
      <w:r w:rsidRPr="00703668">
        <w:t>Palabras: 68</w:t>
      </w:r>
      <w:r w:rsidR="00A57071">
        <w:t>6</w:t>
      </w:r>
    </w:p>
    <w:p w14:paraId="067C0214" w14:textId="71141632" w:rsidR="00A57013" w:rsidRPr="006250E6" w:rsidRDefault="00A57013" w:rsidP="00A57013">
      <w:pPr>
        <w:rPr>
          <w:szCs w:val="20"/>
        </w:rPr>
      </w:pPr>
      <w:r w:rsidRPr="00703668">
        <w:t>Caracteres</w:t>
      </w:r>
      <w:r w:rsidR="00077DDF" w:rsidRPr="00703668">
        <w:t xml:space="preserve"> (con espacios)</w:t>
      </w:r>
      <w:r w:rsidRPr="00703668">
        <w:t>: 4.3</w:t>
      </w:r>
      <w:r w:rsidR="001E0883">
        <w:t>9</w:t>
      </w:r>
      <w:r w:rsidR="00A57071">
        <w:t>5</w:t>
      </w:r>
    </w:p>
    <w:p w14:paraId="75F877D7" w14:textId="77777777" w:rsidR="0086534F" w:rsidRPr="006250E6" w:rsidRDefault="0086534F">
      <w:pPr>
        <w:rPr>
          <w:rFonts w:eastAsiaTheme="majorEastAsia" w:cstheme="majorBidi"/>
          <w:iCs/>
          <w:color w:val="000000" w:themeColor="text1"/>
          <w:sz w:val="20"/>
          <w:szCs w:val="20"/>
          <w:highlight w:val="yellow"/>
          <w:u w:val="single"/>
        </w:rPr>
      </w:pPr>
    </w:p>
    <w:p w14:paraId="099591B9" w14:textId="77777777" w:rsidR="0086534F" w:rsidRPr="006250E6" w:rsidRDefault="0086534F">
      <w:pPr>
        <w:rPr>
          <w:rFonts w:eastAsiaTheme="majorEastAsia" w:cstheme="majorBidi"/>
          <w:iCs/>
          <w:color w:val="000000" w:themeColor="text1"/>
          <w:sz w:val="20"/>
          <w:szCs w:val="20"/>
          <w:highlight w:val="yellow"/>
          <w:u w:val="single"/>
        </w:rPr>
      </w:pPr>
    </w:p>
    <w:p w14:paraId="1B5FB47B" w14:textId="77777777" w:rsidR="0086534F" w:rsidRPr="006250E6" w:rsidRDefault="0086534F">
      <w:pPr>
        <w:rPr>
          <w:rFonts w:eastAsiaTheme="majorEastAsia" w:cstheme="majorBidi"/>
          <w:iCs/>
          <w:color w:val="000000" w:themeColor="text1"/>
          <w:sz w:val="20"/>
          <w:szCs w:val="20"/>
          <w:highlight w:val="yellow"/>
          <w:u w:val="single"/>
        </w:rPr>
      </w:pPr>
    </w:p>
    <w:p w14:paraId="1E92DAB9" w14:textId="77777777" w:rsidR="00A57013" w:rsidRPr="006250E6" w:rsidRDefault="00A57013">
      <w:pPr>
        <w:rPr>
          <w:rFonts w:eastAsiaTheme="majorEastAsia" w:cstheme="majorBidi"/>
          <w:iCs/>
          <w:color w:val="000000" w:themeColor="text1"/>
          <w:sz w:val="20"/>
          <w:szCs w:val="20"/>
          <w:highlight w:val="yellow"/>
          <w:u w:val="single"/>
        </w:rPr>
      </w:pPr>
    </w:p>
    <w:p w14:paraId="0C093DA6" w14:textId="77777777" w:rsidR="00A57013" w:rsidRPr="006250E6" w:rsidRDefault="00A57013">
      <w:pPr>
        <w:rPr>
          <w:rFonts w:eastAsiaTheme="majorEastAsia" w:cstheme="majorBidi"/>
          <w:iCs/>
          <w:color w:val="000000" w:themeColor="text1"/>
          <w:sz w:val="20"/>
          <w:szCs w:val="20"/>
          <w:highlight w:val="yellow"/>
          <w:u w:val="single"/>
        </w:rPr>
      </w:pPr>
    </w:p>
    <w:p w14:paraId="5399D112" w14:textId="77777777" w:rsidR="00A57013" w:rsidRPr="006250E6" w:rsidRDefault="00A57013">
      <w:pPr>
        <w:rPr>
          <w:rFonts w:eastAsiaTheme="majorEastAsia" w:cstheme="majorBidi"/>
          <w:iCs/>
          <w:color w:val="000000" w:themeColor="text1"/>
          <w:sz w:val="20"/>
          <w:szCs w:val="20"/>
          <w:highlight w:val="yellow"/>
          <w:u w:val="single"/>
        </w:rPr>
      </w:pPr>
    </w:p>
    <w:p w14:paraId="07AFF679" w14:textId="77777777" w:rsidR="0086534F" w:rsidRPr="006250E6" w:rsidRDefault="0086534F">
      <w:pPr>
        <w:rPr>
          <w:rFonts w:eastAsiaTheme="majorEastAsia" w:cstheme="majorBidi"/>
          <w:iCs/>
          <w:color w:val="000000" w:themeColor="text1"/>
          <w:sz w:val="20"/>
          <w:szCs w:val="20"/>
          <w:highlight w:val="yellow"/>
          <w:u w:val="single"/>
        </w:rPr>
      </w:pPr>
    </w:p>
    <w:p w14:paraId="06500882" w14:textId="77777777" w:rsidR="0086534F" w:rsidRPr="006250E6" w:rsidRDefault="0086534F">
      <w:pPr>
        <w:rPr>
          <w:rFonts w:eastAsiaTheme="majorEastAsia" w:cstheme="majorBidi"/>
          <w:iCs/>
          <w:color w:val="000000" w:themeColor="text1"/>
          <w:sz w:val="20"/>
          <w:szCs w:val="20"/>
          <w:highlight w:val="yellow"/>
          <w:u w:val="single"/>
        </w:rPr>
      </w:pPr>
    </w:p>
    <w:p w14:paraId="4FAAD9C0" w14:textId="77777777" w:rsidR="009D18F5" w:rsidRPr="006250E6" w:rsidRDefault="009D18F5" w:rsidP="009D18F5">
      <w:pPr>
        <w:pStyle w:val="Ttulo4"/>
        <w:jc w:val="both"/>
        <w:rPr>
          <w:sz w:val="20"/>
          <w:szCs w:val="20"/>
        </w:rPr>
      </w:pPr>
      <w:r w:rsidRPr="006250E6">
        <w:rPr>
          <w:sz w:val="20"/>
        </w:rPr>
        <w:lastRenderedPageBreak/>
        <w:t>Sinopsis del material gráfico</w:t>
      </w:r>
    </w:p>
    <w:p w14:paraId="25066DDE" w14:textId="77777777" w:rsidR="00464C4A" w:rsidRPr="006250E6" w:rsidRDefault="00464C4A" w:rsidP="00464C4A"/>
    <w:tbl>
      <w:tblPr>
        <w:tblStyle w:val="Tablaconcuadrcula"/>
        <w:tblW w:w="0" w:type="auto"/>
        <w:tblLook w:val="04A0" w:firstRow="1" w:lastRow="0" w:firstColumn="1" w:lastColumn="0" w:noHBand="0" w:noVBand="1"/>
      </w:tblPr>
      <w:tblGrid>
        <w:gridCol w:w="4531"/>
        <w:gridCol w:w="4531"/>
      </w:tblGrid>
      <w:tr w:rsidR="0086534F" w:rsidRPr="00BE44BF" w14:paraId="2BBA828A" w14:textId="77777777" w:rsidTr="00F063DD">
        <w:tc>
          <w:tcPr>
            <w:tcW w:w="4531" w:type="dxa"/>
          </w:tcPr>
          <w:p w14:paraId="13E183D4" w14:textId="77777777" w:rsidR="0086534F" w:rsidRPr="00BE44BF" w:rsidRDefault="0086534F" w:rsidP="00F063DD">
            <w:r w:rsidRPr="00BE44BF">
              <w:rPr>
                <w:noProof/>
              </w:rPr>
              <w:drawing>
                <wp:inline distT="0" distB="0" distL="0" distR="0" wp14:anchorId="270E6063" wp14:editId="6D947C65">
                  <wp:extent cx="2609850" cy="1951346"/>
                  <wp:effectExtent l="0" t="0" r="0" b="0"/>
                  <wp:docPr id="1639704610"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9704610" name=""/>
                          <pic:cNvPicPr/>
                        </pic:nvPicPr>
                        <pic:blipFill>
                          <a:blip r:embed="rId12"/>
                          <a:stretch>
                            <a:fillRect/>
                          </a:stretch>
                        </pic:blipFill>
                        <pic:spPr>
                          <a:xfrm>
                            <a:off x="0" y="0"/>
                            <a:ext cx="2616511" cy="1956327"/>
                          </a:xfrm>
                          <a:prstGeom prst="rect">
                            <a:avLst/>
                          </a:prstGeom>
                        </pic:spPr>
                      </pic:pic>
                    </a:graphicData>
                  </a:graphic>
                </wp:inline>
              </w:drawing>
            </w:r>
          </w:p>
          <w:p w14:paraId="4D8B29B7" w14:textId="77777777" w:rsidR="0086534F" w:rsidRPr="00BE44BF" w:rsidRDefault="0086534F" w:rsidP="00F063DD"/>
        </w:tc>
        <w:tc>
          <w:tcPr>
            <w:tcW w:w="4531" w:type="dxa"/>
          </w:tcPr>
          <w:p w14:paraId="6ECC392E" w14:textId="77777777" w:rsidR="0086534F" w:rsidRPr="00BE44BF" w:rsidRDefault="0086534F" w:rsidP="00F063DD">
            <w:r w:rsidRPr="00BE44BF">
              <w:t>El inversor Fronius GEN24</w:t>
            </w:r>
          </w:p>
        </w:tc>
      </w:tr>
      <w:tr w:rsidR="0086534F" w:rsidRPr="00BE44BF" w14:paraId="791EF1E3" w14:textId="77777777" w:rsidTr="00F063DD">
        <w:tc>
          <w:tcPr>
            <w:tcW w:w="4531" w:type="dxa"/>
          </w:tcPr>
          <w:p w14:paraId="2D2EA01B" w14:textId="77777777" w:rsidR="0086534F" w:rsidRPr="00BE44BF" w:rsidRDefault="0086534F" w:rsidP="00F063DD">
            <w:r w:rsidRPr="00BE44BF">
              <w:rPr>
                <w:noProof/>
              </w:rPr>
              <w:drawing>
                <wp:inline distT="0" distB="0" distL="0" distR="0" wp14:anchorId="74752500" wp14:editId="4D196A02">
                  <wp:extent cx="2571750" cy="1731226"/>
                  <wp:effectExtent l="0" t="0" r="0" b="2540"/>
                  <wp:docPr id="458627998"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8627998" name=""/>
                          <pic:cNvPicPr/>
                        </pic:nvPicPr>
                        <pic:blipFill>
                          <a:blip r:embed="rId13"/>
                          <a:stretch>
                            <a:fillRect/>
                          </a:stretch>
                        </pic:blipFill>
                        <pic:spPr>
                          <a:xfrm>
                            <a:off x="0" y="0"/>
                            <a:ext cx="2587136" cy="1741583"/>
                          </a:xfrm>
                          <a:prstGeom prst="rect">
                            <a:avLst/>
                          </a:prstGeom>
                        </pic:spPr>
                      </pic:pic>
                    </a:graphicData>
                  </a:graphic>
                </wp:inline>
              </w:drawing>
            </w:r>
          </w:p>
          <w:p w14:paraId="70C0F995" w14:textId="77777777" w:rsidR="0086534F" w:rsidRPr="00BE44BF" w:rsidRDefault="0086534F" w:rsidP="00F063DD"/>
        </w:tc>
        <w:tc>
          <w:tcPr>
            <w:tcW w:w="4531" w:type="dxa"/>
          </w:tcPr>
          <w:p w14:paraId="3633B7CD" w14:textId="60761EAB" w:rsidR="0086534F" w:rsidRPr="00BE44BF" w:rsidRDefault="0086534F" w:rsidP="00F063DD">
            <w:r w:rsidRPr="00BE44BF">
              <w:t xml:space="preserve">La </w:t>
            </w:r>
            <w:r w:rsidR="00846F1F">
              <w:t>serie</w:t>
            </w:r>
            <w:r w:rsidRPr="00BE44BF">
              <w:t xml:space="preserve"> de productos Fronius GEN24 ofrece</w:t>
            </w:r>
            <w:r w:rsidR="00077DDF">
              <w:t xml:space="preserve"> flexibles</w:t>
            </w:r>
            <w:r w:rsidRPr="00BE44BF">
              <w:t xml:space="preserve"> opciones de instalación.</w:t>
            </w:r>
          </w:p>
        </w:tc>
      </w:tr>
      <w:tr w:rsidR="0086534F" w:rsidRPr="00BE44BF" w14:paraId="591573F5" w14:textId="77777777" w:rsidTr="00F063DD">
        <w:tc>
          <w:tcPr>
            <w:tcW w:w="4531" w:type="dxa"/>
          </w:tcPr>
          <w:p w14:paraId="33327712" w14:textId="77777777" w:rsidR="0086534F" w:rsidRPr="00BE44BF" w:rsidRDefault="0086534F" w:rsidP="00F063DD">
            <w:r w:rsidRPr="00BE44BF">
              <w:rPr>
                <w:noProof/>
              </w:rPr>
              <w:drawing>
                <wp:inline distT="0" distB="0" distL="0" distR="0" wp14:anchorId="6304B60D" wp14:editId="46C8FD12">
                  <wp:extent cx="2600325" cy="1945944"/>
                  <wp:effectExtent l="0" t="0" r="0" b="0"/>
                  <wp:docPr id="1364384554"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4384554" name=""/>
                          <pic:cNvPicPr/>
                        </pic:nvPicPr>
                        <pic:blipFill>
                          <a:blip r:embed="rId14"/>
                          <a:stretch>
                            <a:fillRect/>
                          </a:stretch>
                        </pic:blipFill>
                        <pic:spPr>
                          <a:xfrm>
                            <a:off x="0" y="0"/>
                            <a:ext cx="2612344" cy="1954938"/>
                          </a:xfrm>
                          <a:prstGeom prst="rect">
                            <a:avLst/>
                          </a:prstGeom>
                        </pic:spPr>
                      </pic:pic>
                    </a:graphicData>
                  </a:graphic>
                </wp:inline>
              </w:drawing>
            </w:r>
          </w:p>
          <w:p w14:paraId="320EACB4" w14:textId="77777777" w:rsidR="0086534F" w:rsidRPr="00BE44BF" w:rsidRDefault="0086534F" w:rsidP="00F063DD"/>
        </w:tc>
        <w:tc>
          <w:tcPr>
            <w:tcW w:w="4531" w:type="dxa"/>
          </w:tcPr>
          <w:p w14:paraId="780453F2" w14:textId="57F720AC" w:rsidR="0086534F" w:rsidRPr="00BE44BF" w:rsidRDefault="0086534F" w:rsidP="00F063DD">
            <w:r w:rsidRPr="00BE44BF">
              <w:t>L</w:t>
            </w:r>
            <w:r w:rsidR="00846F1F">
              <w:t xml:space="preserve">os </w:t>
            </w:r>
            <w:r w:rsidRPr="00BE44BF">
              <w:t>Fronius GEN24 destaca</w:t>
            </w:r>
            <w:r w:rsidR="00846F1F">
              <w:t>n</w:t>
            </w:r>
            <w:r w:rsidRPr="00BE44BF">
              <w:t xml:space="preserve"> por su sostenibilidad. </w:t>
            </w:r>
          </w:p>
        </w:tc>
      </w:tr>
    </w:tbl>
    <w:p w14:paraId="160F9E6F" w14:textId="77777777" w:rsidR="009D18F5" w:rsidRPr="00BE44BF" w:rsidRDefault="009D18F5">
      <w:pPr>
        <w:rPr>
          <w:rFonts w:eastAsiaTheme="majorEastAsia" w:cstheme="majorBidi"/>
          <w:iCs/>
          <w:color w:val="000000" w:themeColor="text1"/>
          <w:sz w:val="20"/>
          <w:szCs w:val="20"/>
          <w:highlight w:val="yellow"/>
          <w:u w:val="single"/>
        </w:rPr>
      </w:pPr>
    </w:p>
    <w:p w14:paraId="5F55F819" w14:textId="00931851" w:rsidR="009D18F5" w:rsidRDefault="009D18F5" w:rsidP="00703668">
      <w:pPr>
        <w:jc w:val="both"/>
        <w:rPr>
          <w:i/>
          <w:sz w:val="18"/>
        </w:rPr>
      </w:pPr>
      <w:r w:rsidRPr="00BE44BF">
        <w:rPr>
          <w:i/>
          <w:sz w:val="18"/>
        </w:rPr>
        <w:t>Crédito fotográfico: Fronius International GmbH, reproducción sin coste alguno</w:t>
      </w:r>
    </w:p>
    <w:p w14:paraId="198D8A4E" w14:textId="77777777" w:rsidR="00703668" w:rsidRPr="00703668" w:rsidRDefault="00703668" w:rsidP="00703668">
      <w:pPr>
        <w:jc w:val="both"/>
        <w:rPr>
          <w:i/>
          <w:sz w:val="18"/>
        </w:rPr>
      </w:pPr>
    </w:p>
    <w:p w14:paraId="45C5FE46" w14:textId="77777777" w:rsidR="00077DDF" w:rsidRPr="00077DDF" w:rsidRDefault="00077DDF" w:rsidP="00077DDF">
      <w:pPr>
        <w:rPr>
          <w:b/>
          <w:szCs w:val="20"/>
        </w:rPr>
      </w:pPr>
      <w:r w:rsidRPr="00077DDF">
        <w:rPr>
          <w:b/>
        </w:rPr>
        <w:t>Unidad de negocio Solar Energy</w:t>
      </w:r>
    </w:p>
    <w:p w14:paraId="57B8AEA7" w14:textId="77777777" w:rsidR="00077DDF" w:rsidRPr="00527146" w:rsidRDefault="00077DDF" w:rsidP="00077DDF">
      <w:pPr>
        <w:rPr>
          <w:szCs w:val="20"/>
        </w:rPr>
      </w:pPr>
      <w:r w:rsidRPr="00527146">
        <w:t>La unidad de negocio Solar Energy de Fronius, fundada en 1992, desarrolla soluciones innovadoras bajo el lema "</w:t>
      </w:r>
      <w:proofErr w:type="spellStart"/>
      <w:r w:rsidRPr="00527146">
        <w:t>Energize</w:t>
      </w:r>
      <w:proofErr w:type="spellEnd"/>
      <w:r w:rsidRPr="00527146">
        <w:t xml:space="preserve"> </w:t>
      </w:r>
      <w:proofErr w:type="spellStart"/>
      <w:r w:rsidRPr="00527146">
        <w:t>your</w:t>
      </w:r>
      <w:proofErr w:type="spellEnd"/>
      <w:r w:rsidRPr="00527146">
        <w:t xml:space="preserve"> </w:t>
      </w:r>
      <w:proofErr w:type="spellStart"/>
      <w:r w:rsidRPr="00527146">
        <w:t>life</w:t>
      </w:r>
      <w:proofErr w:type="spellEnd"/>
      <w:r w:rsidRPr="00527146">
        <w:t xml:space="preserve">" con las que se puede generar, almacenar, distribuir y consumir energía solar de forma rentable e inteligente. Fronius Solar Energy hace posible aprovechar la energía del sol las 24 horas del día y construye así el camino hacia un futuro en el que las energías renovables cubrirán el 100 % de las necesidades energéticas de todo el planeta. Todas nuestras soluciones se desarrollan </w:t>
      </w:r>
      <w:r w:rsidRPr="00527146">
        <w:lastRenderedPageBreak/>
        <w:t xml:space="preserve">de forma sostenible y se producen exclusivamente en Europa, principalmente en Austria. Fronius Solar Energy tiene 26 delegaciones en todo el mundo, y, </w:t>
      </w:r>
      <w:proofErr w:type="gramStart"/>
      <w:r w:rsidRPr="00527146">
        <w:t>a día de hoy</w:t>
      </w:r>
      <w:proofErr w:type="gramEnd"/>
      <w:r w:rsidRPr="00527146">
        <w:t>, puede presumir de una producción total de más de 25 gigavatios en los inversores instalados. La distribución se lleva a cabo a través de una red mundial de instaladores, servicio técnico y distribuidores.</w:t>
      </w:r>
    </w:p>
    <w:p w14:paraId="631113BC" w14:textId="77777777" w:rsidR="00077DDF" w:rsidRPr="00527146" w:rsidRDefault="00077DDF" w:rsidP="00077DDF">
      <w:pPr>
        <w:rPr>
          <w:b/>
        </w:rPr>
      </w:pPr>
      <w:bookmarkStart w:id="1" w:name="_Hlk138232439"/>
      <w:r w:rsidRPr="00527146">
        <w:rPr>
          <w:b/>
        </w:rPr>
        <w:t>Somos Fronius.</w:t>
      </w:r>
    </w:p>
    <w:p w14:paraId="212EEFB0" w14:textId="77777777" w:rsidR="00077DDF" w:rsidRPr="00527146" w:rsidRDefault="00077DDF" w:rsidP="00077DDF">
      <w:pPr>
        <w:rPr>
          <w:szCs w:val="20"/>
        </w:rPr>
      </w:pPr>
      <w:r w:rsidRPr="00527146">
        <w:t>Más de 8000 empleados en todo el mundo, un porcentaje de exportación del 87 % y 1446 patentes activas: así somos nosotros, así es Fronius. Fundada en 1945, esta empresa regional unipersonal se ha convertido en un líder global con 37 filiales internacionales y una red de distribuidores en más de 60 países, pero en el fondo sigue siendo una empresa familiar austriaca, que opera en el ámbito de la fotovoltaica y de la tecnología de soldadura y de carga de baterías. Siempre hemos desarrollado productos y soluciones para garantizar un futuro que merezca la pena vivir, y ofrecemos a nuestros clientes un paquete completo, desde la planificación y el asesoramiento previos hasta la monitorización continua y un servicio de reparación adaptado a tus necesidades. Somos innovadores. Somo curiosos. Somos Fronius.</w:t>
      </w:r>
    </w:p>
    <w:bookmarkEnd w:id="1"/>
    <w:p w14:paraId="20ADE4FE" w14:textId="77777777" w:rsidR="00077DDF" w:rsidRPr="00527146" w:rsidRDefault="00077DDF" w:rsidP="00077DDF">
      <w:pPr>
        <w:rPr>
          <w:szCs w:val="20"/>
          <w:highlight w:val="yellow"/>
        </w:rPr>
      </w:pPr>
    </w:p>
    <w:p w14:paraId="4A36A4A3" w14:textId="77777777" w:rsidR="00077DDF" w:rsidRPr="00527146" w:rsidRDefault="00077DDF" w:rsidP="00077DDF">
      <w:pPr>
        <w:rPr>
          <w:szCs w:val="20"/>
        </w:rPr>
      </w:pPr>
      <w:r w:rsidRPr="00527146">
        <w:t>Contacto para consultas</w:t>
      </w:r>
    </w:p>
    <w:p w14:paraId="2D56DC2E" w14:textId="77777777" w:rsidR="00077DDF" w:rsidRPr="00527146" w:rsidRDefault="00077DDF" w:rsidP="00077DDF">
      <w:r w:rsidRPr="00527146">
        <w:t>Laura GONZALEZ, +34 91 649 60 40,</w:t>
      </w:r>
      <w:r w:rsidRPr="00527146">
        <w:rPr>
          <w:rStyle w:val="Hipervnculo"/>
          <w:sz w:val="20"/>
          <w:szCs w:val="20"/>
        </w:rPr>
        <w:t xml:space="preserve"> </w:t>
      </w:r>
      <w:hyperlink r:id="rId15" w:history="1">
        <w:r w:rsidRPr="00527146">
          <w:rPr>
            <w:rStyle w:val="Hipervnculo"/>
            <w:sz w:val="20"/>
            <w:szCs w:val="20"/>
          </w:rPr>
          <w:t>gonzalez.laura@fronius.com</w:t>
        </w:r>
      </w:hyperlink>
      <w:r w:rsidRPr="00527146">
        <w:t>, C/ Miguel Faraday 2, 28906 Getafe, Madrid.</w:t>
      </w:r>
    </w:p>
    <w:p w14:paraId="784997D1" w14:textId="77777777" w:rsidR="00077DDF" w:rsidRPr="00527146" w:rsidRDefault="00077DDF" w:rsidP="00077DDF">
      <w:pPr>
        <w:rPr>
          <w:szCs w:val="20"/>
          <w:lang w:val="en-US"/>
        </w:rPr>
      </w:pPr>
      <w:r w:rsidRPr="00527146">
        <w:rPr>
          <w:szCs w:val="20"/>
          <w:lang w:val="en-US"/>
        </w:rPr>
        <w:t>Fronius International GmbH, Mag. Fabian SCHWARZ</w:t>
      </w:r>
      <w:r w:rsidRPr="00527146">
        <w:rPr>
          <w:szCs w:val="20"/>
          <w:lang w:val="en-US"/>
        </w:rPr>
        <w:br/>
        <w:t xml:space="preserve">+43 664 88536765, </w:t>
      </w:r>
      <w:hyperlink r:id="rId16" w:history="1">
        <w:r w:rsidRPr="00527146">
          <w:rPr>
            <w:rStyle w:val="Hipervnculo"/>
            <w:sz w:val="20"/>
            <w:szCs w:val="20"/>
            <w:lang w:val="en-US"/>
          </w:rPr>
          <w:t>schwarz.fabian@fronius.com</w:t>
        </w:r>
      </w:hyperlink>
      <w:r w:rsidRPr="00527146">
        <w:rPr>
          <w:szCs w:val="20"/>
          <w:lang w:val="en-US"/>
        </w:rPr>
        <w:t>,</w:t>
      </w:r>
      <w:r w:rsidRPr="00527146">
        <w:rPr>
          <w:szCs w:val="20"/>
          <w:lang w:val="en-US"/>
        </w:rPr>
        <w:br/>
      </w:r>
      <w:proofErr w:type="spellStart"/>
      <w:r w:rsidRPr="00527146">
        <w:rPr>
          <w:szCs w:val="20"/>
          <w:lang w:val="en-US"/>
        </w:rPr>
        <w:t>Froniusplatz</w:t>
      </w:r>
      <w:proofErr w:type="spellEnd"/>
      <w:r w:rsidRPr="00527146">
        <w:rPr>
          <w:szCs w:val="20"/>
          <w:lang w:val="en-US"/>
        </w:rPr>
        <w:t xml:space="preserve"> 1, 4600 Wels, Austria</w:t>
      </w:r>
    </w:p>
    <w:p w14:paraId="3A52153A" w14:textId="77777777" w:rsidR="00077DDF" w:rsidRDefault="00077DDF" w:rsidP="00077DDF">
      <w:pPr>
        <w:rPr>
          <w:rStyle w:val="Hipervnculo"/>
          <w:sz w:val="20"/>
          <w:szCs w:val="20"/>
        </w:rPr>
      </w:pPr>
      <w:r>
        <w:rPr>
          <w:color w:val="000000" w:themeColor="text1"/>
          <w:u w:val="single"/>
        </w:rPr>
        <w:t>Ejemplar de muestra</w:t>
      </w:r>
      <w:r>
        <w:rPr>
          <w:color w:val="000000" w:themeColor="text1"/>
          <w:u w:val="single"/>
        </w:rPr>
        <w:br/>
      </w:r>
      <w:r>
        <w:t xml:space="preserve">a1kommunikation </w:t>
      </w:r>
      <w:proofErr w:type="spellStart"/>
      <w:r>
        <w:t>Schweizer</w:t>
      </w:r>
      <w:proofErr w:type="spellEnd"/>
      <w:r>
        <w:t xml:space="preserve"> GmbH, Rüdiger KEMPA,</w:t>
      </w:r>
      <w:r>
        <w:br/>
      </w:r>
      <w:hyperlink r:id="rId17" w:history="1">
        <w:r>
          <w:rPr>
            <w:rStyle w:val="Hipervnculo"/>
            <w:sz w:val="20"/>
          </w:rPr>
          <w:t>rke@a1kommunikation.de</w:t>
        </w:r>
      </w:hyperlink>
    </w:p>
    <w:p w14:paraId="7A0525E9" w14:textId="77777777" w:rsidR="00077DDF" w:rsidRPr="00527146" w:rsidRDefault="00077DDF" w:rsidP="00077DDF">
      <w:pPr>
        <w:rPr>
          <w:color w:val="0563C1" w:themeColor="hyperlink"/>
          <w:szCs w:val="20"/>
          <w:u w:val="single"/>
        </w:rPr>
      </w:pPr>
      <w:proofErr w:type="spellStart"/>
      <w:r w:rsidRPr="00527146">
        <w:t>Oberdorfstraße</w:t>
      </w:r>
      <w:proofErr w:type="spellEnd"/>
      <w:r w:rsidRPr="00527146">
        <w:t xml:space="preserve"> 31A, 70794 </w:t>
      </w:r>
      <w:proofErr w:type="spellStart"/>
      <w:r w:rsidRPr="00527146">
        <w:t>Filderstadt</w:t>
      </w:r>
      <w:proofErr w:type="spellEnd"/>
      <w:r w:rsidRPr="00527146">
        <w:t>, Alemania</w:t>
      </w:r>
    </w:p>
    <w:p w14:paraId="328C65AA" w14:textId="77777777" w:rsidR="00077DDF" w:rsidRPr="00527146" w:rsidRDefault="00077DDF" w:rsidP="00077DDF">
      <w:pPr>
        <w:jc w:val="both"/>
        <w:rPr>
          <w:sz w:val="16"/>
          <w:szCs w:val="16"/>
        </w:rPr>
      </w:pPr>
    </w:p>
    <w:p w14:paraId="4F24F4B6" w14:textId="77777777" w:rsidR="00077DDF" w:rsidRPr="00527146" w:rsidRDefault="00077DDF" w:rsidP="00077DDF">
      <w:pPr>
        <w:jc w:val="both"/>
        <w:rPr>
          <w:sz w:val="16"/>
          <w:szCs w:val="16"/>
        </w:rPr>
      </w:pPr>
      <w:r w:rsidRPr="00527146">
        <w:rPr>
          <w:sz w:val="16"/>
        </w:rPr>
        <w:t>Si no quieres seguir recibiendo notas de prensa de la unidad de negocio Solar Energy de Fronius International GmbH, responde UNSUBSCRIBE a la dirección de correo electrónico</w:t>
      </w:r>
      <w:r w:rsidRPr="00527146">
        <w:t xml:space="preserve"> </w:t>
      </w:r>
      <w:hyperlink r:id="rId18" w:history="1">
        <w:r w:rsidRPr="00527146">
          <w:rPr>
            <w:rStyle w:val="Hipervnculo"/>
            <w:sz w:val="16"/>
          </w:rPr>
          <w:t>cancellation@fronius.com</w:t>
        </w:r>
      </w:hyperlink>
      <w:r w:rsidRPr="00527146">
        <w:rPr>
          <w:sz w:val="16"/>
        </w:rPr>
        <w:t>.</w:t>
      </w:r>
    </w:p>
    <w:p w14:paraId="57CCCEAB" w14:textId="77777777" w:rsidR="00077DDF" w:rsidRPr="00527146" w:rsidRDefault="00077DDF" w:rsidP="00077DDF">
      <w:pPr>
        <w:rPr>
          <w:sz w:val="16"/>
          <w:szCs w:val="16"/>
        </w:rPr>
      </w:pPr>
    </w:p>
    <w:p w14:paraId="47EF5EF6" w14:textId="77777777" w:rsidR="00BB13FF" w:rsidRPr="006250E6" w:rsidRDefault="00BB13FF" w:rsidP="00A57013">
      <w:pPr>
        <w:pStyle w:val="Ttulo4"/>
        <w:jc w:val="both"/>
        <w:rPr>
          <w:sz w:val="16"/>
          <w:szCs w:val="16"/>
        </w:rPr>
      </w:pPr>
    </w:p>
    <w:sectPr w:rsidR="00BB13FF" w:rsidRPr="006250E6">
      <w:headerReference w:type="default" r:id="rId19"/>
      <w:footerReference w:type="default" r:id="rId20"/>
      <w:pgSz w:w="11906" w:h="16838"/>
      <w:pgMar w:top="1417" w:right="1417" w:bottom="1134"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62677EB" w14:textId="77777777" w:rsidR="00AB1EF3" w:rsidRDefault="00AB1EF3" w:rsidP="00B54547">
      <w:pPr>
        <w:spacing w:after="0" w:line="240" w:lineRule="auto"/>
      </w:pPr>
      <w:r>
        <w:separator/>
      </w:r>
    </w:p>
  </w:endnote>
  <w:endnote w:type="continuationSeparator" w:id="0">
    <w:p w14:paraId="18BC45E6" w14:textId="77777777" w:rsidR="00AB1EF3" w:rsidRDefault="00AB1EF3" w:rsidP="00B5454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Noto Sans">
    <w:panose1 w:val="020B0502040504020204"/>
    <w:charset w:val="00"/>
    <w:family w:val="swiss"/>
    <w:pitch w:val="variable"/>
    <w:sig w:usb0="E00002FF" w:usb1="4000201F" w:usb2="08000029"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42E754B" w14:textId="77777777" w:rsidR="00B54547" w:rsidRDefault="00B54547">
    <w:pPr>
      <w:pStyle w:val="Piedepgina"/>
    </w:pPr>
    <w:r>
      <w:rPr>
        <w:noProof/>
      </w:rPr>
      <mc:AlternateContent>
        <mc:Choice Requires="wps">
          <w:drawing>
            <wp:anchor distT="0" distB="0" distL="114300" distR="114300" simplePos="0" relativeHeight="251659264" behindDoc="0" locked="1" layoutInCell="1" allowOverlap="1" wp14:anchorId="47C6CB22" wp14:editId="1D581076">
              <wp:simplePos x="0" y="0"/>
              <wp:positionH relativeFrom="margin">
                <wp:posOffset>-97155</wp:posOffset>
              </wp:positionH>
              <wp:positionV relativeFrom="page">
                <wp:posOffset>10050145</wp:posOffset>
              </wp:positionV>
              <wp:extent cx="6142355" cy="222885"/>
              <wp:effectExtent l="0" t="0" r="0" b="5715"/>
              <wp:wrapNone/>
              <wp:docPr id="212" name="Textfeld 212"/>
              <wp:cNvGraphicFramePr/>
              <a:graphic xmlns:a="http://schemas.openxmlformats.org/drawingml/2006/main">
                <a:graphicData uri="http://schemas.microsoft.com/office/word/2010/wordprocessingShape">
                  <wps:wsp>
                    <wps:cNvSpPr txBox="1"/>
                    <wps:spPr>
                      <a:xfrm>
                        <a:off x="0" y="0"/>
                        <a:ext cx="6142355" cy="222885"/>
                      </a:xfrm>
                      <a:prstGeom prst="rect">
                        <a:avLst/>
                      </a:prstGeom>
                      <a:noFill/>
                      <a:ln w="6350">
                        <a:noFill/>
                      </a:ln>
                    </wps:spPr>
                    <wps:txbx>
                      <w:txbxContent>
                        <w:p w14:paraId="2C90CC76" w14:textId="3B5A419D" w:rsidR="00B54547" w:rsidRPr="003D4817" w:rsidRDefault="00B54547" w:rsidP="00B54547">
                          <w:pPr>
                            <w:spacing w:after="0" w:line="293" w:lineRule="auto"/>
                            <w:rPr>
                              <w:rFonts w:cs="Noto Sans"/>
                              <w:sz w:val="12"/>
                              <w:szCs w:val="12"/>
                            </w:rPr>
                          </w:pPr>
                          <w:r>
                            <w:rPr>
                              <w:sz w:val="12"/>
                            </w:rPr>
                            <w:t>Clase de información: pública</w:t>
                          </w:r>
                        </w:p>
                        <w:p w14:paraId="4A0087EF" w14:textId="77777777" w:rsidR="00B54547" w:rsidRPr="003D4817" w:rsidRDefault="00B54547" w:rsidP="00B54547">
                          <w:pPr>
                            <w:rPr>
                              <w:lang w:val="en-US"/>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47C6CB22" id="_x0000_t202" coordsize="21600,21600" o:spt="202" path="m,l,21600r21600,l21600,xe">
              <v:stroke joinstyle="miter"/>
              <v:path gradientshapeok="t" o:connecttype="rect"/>
            </v:shapetype>
            <v:shape id="Textfeld 212" o:spid="_x0000_s1026" type="#_x0000_t202" style="position:absolute;margin-left:-7.65pt;margin-top:791.35pt;width:483.65pt;height:17.5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page;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" filled="f" stroked="f" strokeweight=".5pt">
              <v:textbox>
                <w:txbxContent>
                  <w:p w14:paraId="2C90CC76" w14:textId="3B5A419D" w:rsidR="00B54547" w:rsidRPr="003D4817" w:rsidRDefault="00B54547" w:rsidP="00B54547">
                    <w:pPr>
                      <w:spacing w:after="0" w:line="293" w:lineRule="auto"/>
                      <w:rPr>
                        <w:rFonts w:cs="Noto Sans"/>
                        <w:sz w:val="12"/>
                        <w:szCs w:val="12"/>
                      </w:rPr>
                    </w:pPr>
                    <w:r>
                      <w:rPr>
                        <w:sz w:val="12"/>
                      </w:rPr>
                      <w:t>Clase de información: pública</w:t>
                    </w:r>
                  </w:p>
                  <w:p w14:paraId="4A0087EF" w14:textId="77777777" w:rsidR="00B54547" w:rsidRPr="003D4817" w:rsidRDefault="00B54547" w:rsidP="00B54547">
                    <w:pPr>
                      <w:rPr>
                        <w:lang w:val="en-US"/>
                      </w:rPr>
                    </w:pPr>
                  </w:p>
                </w:txbxContent>
              </v:textbox>
              <w10:wrap anchorx="margin" anchory="page"/>
              <w10:anchorlock/>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7DCFF798" w14:textId="77777777" w:rsidR="00AB1EF3" w:rsidRDefault="00AB1EF3" w:rsidP="00B54547">
      <w:pPr>
        <w:spacing w:after="0" w:line="240" w:lineRule="auto"/>
      </w:pPr>
      <w:r>
        <w:separator/>
      </w:r>
    </w:p>
  </w:footnote>
  <w:footnote w:type="continuationSeparator" w:id="0">
    <w:p w14:paraId="614D1AC6" w14:textId="77777777" w:rsidR="00AB1EF3" w:rsidRDefault="00AB1EF3" w:rsidP="00B54547">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5843FFC" w14:textId="77777777" w:rsidR="00C921A2" w:rsidRDefault="00C921A2">
    <w:pPr>
      <w:pStyle w:val="Encabezado"/>
    </w:pPr>
    <w:r>
      <w:rPr>
        <w:noProof/>
        <w:sz w:val="20"/>
      </w:rPr>
      <w:drawing>
        <wp:anchor distT="0" distB="0" distL="114300" distR="114300" simplePos="0" relativeHeight="251661312" behindDoc="1" locked="0" layoutInCell="1" allowOverlap="1" wp14:anchorId="5FC2FB44" wp14:editId="562E42D5">
          <wp:simplePos x="0" y="0"/>
          <wp:positionH relativeFrom="column">
            <wp:posOffset>5049795</wp:posOffset>
          </wp:positionH>
          <wp:positionV relativeFrom="paragraph">
            <wp:posOffset>-99489</wp:posOffset>
          </wp:positionV>
          <wp:extent cx="1260000" cy="369527"/>
          <wp:effectExtent l="0" t="0" r="0" b="0"/>
          <wp:wrapNone/>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pic:cNvPicPr/>
                </pic:nvPicPr>
                <pic:blipFill>
                  <a:blip r:embed="rId1">
                    <a:extLst>
                      <a:ext uri="{28A0092B-C50C-407E-A947-70E740481C1C}">
                        <a14:useLocalDpi xmlns:a14="http://schemas.microsoft.com/office/drawing/2010/main" val="0"/>
                      </a:ext>
                    </a:extLst>
                  </a:blip>
                  <a:stretch>
                    <a:fillRect/>
                  </a:stretch>
                </pic:blipFill>
                <pic:spPr>
                  <a:xfrm>
                    <a:off x="0" y="0"/>
                    <a:ext cx="1260000" cy="369527"/>
                  </a:xfrm>
                  <a:prstGeom prst="rect">
                    <a:avLst/>
                  </a:prstGeom>
                </pic:spPr>
              </pic:pic>
            </a:graphicData>
          </a:graphic>
          <wp14:sizeRelH relativeFrom="margin">
            <wp14:pctWidth>0</wp14:pctWidth>
          </wp14:sizeRelH>
          <wp14:sizeRelV relativeFrom="margin">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9D27EA8"/>
    <w:multiLevelType w:val="hybridMultilevel"/>
    <w:tmpl w:val="85D4B346"/>
    <w:lvl w:ilvl="0" w:tplc="0C07000F">
      <w:start w:val="1"/>
      <w:numFmt w:val="decimal"/>
      <w:lvlText w:val="%1."/>
      <w:lvlJc w:val="left"/>
      <w:pPr>
        <w:ind w:left="720" w:hanging="360"/>
      </w:pPr>
      <w:rPr>
        <w:rFonts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1" w15:restartNumberingAfterBreak="0">
    <w:nsid w:val="0BEC1A4B"/>
    <w:multiLevelType w:val="hybridMultilevel"/>
    <w:tmpl w:val="219A8170"/>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2" w15:restartNumberingAfterBreak="0">
    <w:nsid w:val="359839EB"/>
    <w:multiLevelType w:val="hybridMultilevel"/>
    <w:tmpl w:val="53CC44D0"/>
    <w:lvl w:ilvl="0" w:tplc="0C070001">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3" w15:restartNumberingAfterBreak="0">
    <w:nsid w:val="39745421"/>
    <w:multiLevelType w:val="hybridMultilevel"/>
    <w:tmpl w:val="88189DA6"/>
    <w:lvl w:ilvl="0" w:tplc="65D89096">
      <w:start w:val="1"/>
      <w:numFmt w:val="bullet"/>
      <w:pStyle w:val="Headline1-MG"/>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abstractNum w:abstractNumId="4" w15:restartNumberingAfterBreak="0">
    <w:nsid w:val="39C045AC"/>
    <w:multiLevelType w:val="hybridMultilevel"/>
    <w:tmpl w:val="3C68EA64"/>
    <w:lvl w:ilvl="0" w:tplc="0C070001">
      <w:start w:val="1"/>
      <w:numFmt w:val="bullet"/>
      <w:lvlText w:val=""/>
      <w:lvlJc w:val="left"/>
      <w:pPr>
        <w:ind w:left="1079" w:hanging="360"/>
      </w:pPr>
      <w:rPr>
        <w:rFonts w:ascii="Symbol" w:hAnsi="Symbol" w:hint="default"/>
      </w:rPr>
    </w:lvl>
    <w:lvl w:ilvl="1" w:tplc="0C070003" w:tentative="1">
      <w:start w:val="1"/>
      <w:numFmt w:val="bullet"/>
      <w:lvlText w:val="o"/>
      <w:lvlJc w:val="left"/>
      <w:pPr>
        <w:ind w:left="1799" w:hanging="360"/>
      </w:pPr>
      <w:rPr>
        <w:rFonts w:ascii="Courier New" w:hAnsi="Courier New" w:cs="Courier New" w:hint="default"/>
      </w:rPr>
    </w:lvl>
    <w:lvl w:ilvl="2" w:tplc="0C070005" w:tentative="1">
      <w:start w:val="1"/>
      <w:numFmt w:val="bullet"/>
      <w:lvlText w:val=""/>
      <w:lvlJc w:val="left"/>
      <w:pPr>
        <w:ind w:left="2519" w:hanging="360"/>
      </w:pPr>
      <w:rPr>
        <w:rFonts w:ascii="Wingdings" w:hAnsi="Wingdings" w:hint="default"/>
      </w:rPr>
    </w:lvl>
    <w:lvl w:ilvl="3" w:tplc="0C070001" w:tentative="1">
      <w:start w:val="1"/>
      <w:numFmt w:val="bullet"/>
      <w:lvlText w:val=""/>
      <w:lvlJc w:val="left"/>
      <w:pPr>
        <w:ind w:left="3239" w:hanging="360"/>
      </w:pPr>
      <w:rPr>
        <w:rFonts w:ascii="Symbol" w:hAnsi="Symbol" w:hint="default"/>
      </w:rPr>
    </w:lvl>
    <w:lvl w:ilvl="4" w:tplc="0C070003" w:tentative="1">
      <w:start w:val="1"/>
      <w:numFmt w:val="bullet"/>
      <w:lvlText w:val="o"/>
      <w:lvlJc w:val="left"/>
      <w:pPr>
        <w:ind w:left="3959" w:hanging="360"/>
      </w:pPr>
      <w:rPr>
        <w:rFonts w:ascii="Courier New" w:hAnsi="Courier New" w:cs="Courier New" w:hint="default"/>
      </w:rPr>
    </w:lvl>
    <w:lvl w:ilvl="5" w:tplc="0C070005" w:tentative="1">
      <w:start w:val="1"/>
      <w:numFmt w:val="bullet"/>
      <w:lvlText w:val=""/>
      <w:lvlJc w:val="left"/>
      <w:pPr>
        <w:ind w:left="4679" w:hanging="360"/>
      </w:pPr>
      <w:rPr>
        <w:rFonts w:ascii="Wingdings" w:hAnsi="Wingdings" w:hint="default"/>
      </w:rPr>
    </w:lvl>
    <w:lvl w:ilvl="6" w:tplc="0C070001" w:tentative="1">
      <w:start w:val="1"/>
      <w:numFmt w:val="bullet"/>
      <w:lvlText w:val=""/>
      <w:lvlJc w:val="left"/>
      <w:pPr>
        <w:ind w:left="5399" w:hanging="360"/>
      </w:pPr>
      <w:rPr>
        <w:rFonts w:ascii="Symbol" w:hAnsi="Symbol" w:hint="default"/>
      </w:rPr>
    </w:lvl>
    <w:lvl w:ilvl="7" w:tplc="0C070003" w:tentative="1">
      <w:start w:val="1"/>
      <w:numFmt w:val="bullet"/>
      <w:lvlText w:val="o"/>
      <w:lvlJc w:val="left"/>
      <w:pPr>
        <w:ind w:left="6119" w:hanging="360"/>
      </w:pPr>
      <w:rPr>
        <w:rFonts w:ascii="Courier New" w:hAnsi="Courier New" w:cs="Courier New" w:hint="default"/>
      </w:rPr>
    </w:lvl>
    <w:lvl w:ilvl="8" w:tplc="0C070005" w:tentative="1">
      <w:start w:val="1"/>
      <w:numFmt w:val="bullet"/>
      <w:lvlText w:val=""/>
      <w:lvlJc w:val="left"/>
      <w:pPr>
        <w:ind w:left="6839" w:hanging="360"/>
      </w:pPr>
      <w:rPr>
        <w:rFonts w:ascii="Wingdings" w:hAnsi="Wingdings" w:hint="default"/>
      </w:rPr>
    </w:lvl>
  </w:abstractNum>
  <w:abstractNum w:abstractNumId="5" w15:restartNumberingAfterBreak="0">
    <w:nsid w:val="40A70265"/>
    <w:multiLevelType w:val="hybridMultilevel"/>
    <w:tmpl w:val="2DC068E6"/>
    <w:lvl w:ilvl="0" w:tplc="15E071F2">
      <w:start w:val="1"/>
      <w:numFmt w:val="bullet"/>
      <w:lvlText w:val=""/>
      <w:lvlJc w:val="left"/>
      <w:pPr>
        <w:ind w:left="1797" w:hanging="360"/>
      </w:pPr>
      <w:rPr>
        <w:rFonts w:ascii="Symbol" w:hAnsi="Symbol" w:hint="default"/>
      </w:rPr>
    </w:lvl>
    <w:lvl w:ilvl="1" w:tplc="0C070003" w:tentative="1">
      <w:start w:val="1"/>
      <w:numFmt w:val="bullet"/>
      <w:lvlText w:val="o"/>
      <w:lvlJc w:val="left"/>
      <w:pPr>
        <w:ind w:left="2517" w:hanging="360"/>
      </w:pPr>
      <w:rPr>
        <w:rFonts w:ascii="Courier New" w:hAnsi="Courier New" w:cs="Courier New" w:hint="default"/>
      </w:rPr>
    </w:lvl>
    <w:lvl w:ilvl="2" w:tplc="0C070005" w:tentative="1">
      <w:start w:val="1"/>
      <w:numFmt w:val="bullet"/>
      <w:lvlText w:val=""/>
      <w:lvlJc w:val="left"/>
      <w:pPr>
        <w:ind w:left="3237" w:hanging="360"/>
      </w:pPr>
      <w:rPr>
        <w:rFonts w:ascii="Wingdings" w:hAnsi="Wingdings" w:hint="default"/>
      </w:rPr>
    </w:lvl>
    <w:lvl w:ilvl="3" w:tplc="0C070001" w:tentative="1">
      <w:start w:val="1"/>
      <w:numFmt w:val="bullet"/>
      <w:lvlText w:val=""/>
      <w:lvlJc w:val="left"/>
      <w:pPr>
        <w:ind w:left="3957" w:hanging="360"/>
      </w:pPr>
      <w:rPr>
        <w:rFonts w:ascii="Symbol" w:hAnsi="Symbol" w:hint="default"/>
      </w:rPr>
    </w:lvl>
    <w:lvl w:ilvl="4" w:tplc="0C070003" w:tentative="1">
      <w:start w:val="1"/>
      <w:numFmt w:val="bullet"/>
      <w:lvlText w:val="o"/>
      <w:lvlJc w:val="left"/>
      <w:pPr>
        <w:ind w:left="4677" w:hanging="360"/>
      </w:pPr>
      <w:rPr>
        <w:rFonts w:ascii="Courier New" w:hAnsi="Courier New" w:cs="Courier New" w:hint="default"/>
      </w:rPr>
    </w:lvl>
    <w:lvl w:ilvl="5" w:tplc="0C070005" w:tentative="1">
      <w:start w:val="1"/>
      <w:numFmt w:val="bullet"/>
      <w:lvlText w:val=""/>
      <w:lvlJc w:val="left"/>
      <w:pPr>
        <w:ind w:left="5397" w:hanging="360"/>
      </w:pPr>
      <w:rPr>
        <w:rFonts w:ascii="Wingdings" w:hAnsi="Wingdings" w:hint="default"/>
      </w:rPr>
    </w:lvl>
    <w:lvl w:ilvl="6" w:tplc="0C070001" w:tentative="1">
      <w:start w:val="1"/>
      <w:numFmt w:val="bullet"/>
      <w:lvlText w:val=""/>
      <w:lvlJc w:val="left"/>
      <w:pPr>
        <w:ind w:left="6117" w:hanging="360"/>
      </w:pPr>
      <w:rPr>
        <w:rFonts w:ascii="Symbol" w:hAnsi="Symbol" w:hint="default"/>
      </w:rPr>
    </w:lvl>
    <w:lvl w:ilvl="7" w:tplc="0C070003" w:tentative="1">
      <w:start w:val="1"/>
      <w:numFmt w:val="bullet"/>
      <w:lvlText w:val="o"/>
      <w:lvlJc w:val="left"/>
      <w:pPr>
        <w:ind w:left="6837" w:hanging="360"/>
      </w:pPr>
      <w:rPr>
        <w:rFonts w:ascii="Courier New" w:hAnsi="Courier New" w:cs="Courier New" w:hint="default"/>
      </w:rPr>
    </w:lvl>
    <w:lvl w:ilvl="8" w:tplc="0C070005" w:tentative="1">
      <w:start w:val="1"/>
      <w:numFmt w:val="bullet"/>
      <w:lvlText w:val=""/>
      <w:lvlJc w:val="left"/>
      <w:pPr>
        <w:ind w:left="7557" w:hanging="360"/>
      </w:pPr>
      <w:rPr>
        <w:rFonts w:ascii="Wingdings" w:hAnsi="Wingdings" w:hint="default"/>
      </w:rPr>
    </w:lvl>
  </w:abstractNum>
  <w:abstractNum w:abstractNumId="6" w15:restartNumberingAfterBreak="0">
    <w:nsid w:val="48A80E1B"/>
    <w:multiLevelType w:val="hybridMultilevel"/>
    <w:tmpl w:val="840C605C"/>
    <w:lvl w:ilvl="0" w:tplc="0C070001">
      <w:start w:val="1"/>
      <w:numFmt w:val="bullet"/>
      <w:lvlText w:val=""/>
      <w:lvlJc w:val="left"/>
      <w:pPr>
        <w:ind w:left="1438" w:hanging="360"/>
      </w:pPr>
      <w:rPr>
        <w:rFonts w:ascii="Symbol" w:hAnsi="Symbol" w:hint="default"/>
      </w:rPr>
    </w:lvl>
    <w:lvl w:ilvl="1" w:tplc="0C070003" w:tentative="1">
      <w:start w:val="1"/>
      <w:numFmt w:val="bullet"/>
      <w:lvlText w:val="o"/>
      <w:lvlJc w:val="left"/>
      <w:pPr>
        <w:ind w:left="2158" w:hanging="360"/>
      </w:pPr>
      <w:rPr>
        <w:rFonts w:ascii="Courier New" w:hAnsi="Courier New" w:cs="Courier New" w:hint="default"/>
      </w:rPr>
    </w:lvl>
    <w:lvl w:ilvl="2" w:tplc="0C070005" w:tentative="1">
      <w:start w:val="1"/>
      <w:numFmt w:val="bullet"/>
      <w:lvlText w:val=""/>
      <w:lvlJc w:val="left"/>
      <w:pPr>
        <w:ind w:left="2878" w:hanging="360"/>
      </w:pPr>
      <w:rPr>
        <w:rFonts w:ascii="Wingdings" w:hAnsi="Wingdings" w:hint="default"/>
      </w:rPr>
    </w:lvl>
    <w:lvl w:ilvl="3" w:tplc="0C070001" w:tentative="1">
      <w:start w:val="1"/>
      <w:numFmt w:val="bullet"/>
      <w:lvlText w:val=""/>
      <w:lvlJc w:val="left"/>
      <w:pPr>
        <w:ind w:left="3598" w:hanging="360"/>
      </w:pPr>
      <w:rPr>
        <w:rFonts w:ascii="Symbol" w:hAnsi="Symbol" w:hint="default"/>
      </w:rPr>
    </w:lvl>
    <w:lvl w:ilvl="4" w:tplc="0C070003" w:tentative="1">
      <w:start w:val="1"/>
      <w:numFmt w:val="bullet"/>
      <w:lvlText w:val="o"/>
      <w:lvlJc w:val="left"/>
      <w:pPr>
        <w:ind w:left="4318" w:hanging="360"/>
      </w:pPr>
      <w:rPr>
        <w:rFonts w:ascii="Courier New" w:hAnsi="Courier New" w:cs="Courier New" w:hint="default"/>
      </w:rPr>
    </w:lvl>
    <w:lvl w:ilvl="5" w:tplc="0C070005" w:tentative="1">
      <w:start w:val="1"/>
      <w:numFmt w:val="bullet"/>
      <w:lvlText w:val=""/>
      <w:lvlJc w:val="left"/>
      <w:pPr>
        <w:ind w:left="5038" w:hanging="360"/>
      </w:pPr>
      <w:rPr>
        <w:rFonts w:ascii="Wingdings" w:hAnsi="Wingdings" w:hint="default"/>
      </w:rPr>
    </w:lvl>
    <w:lvl w:ilvl="6" w:tplc="0C070001" w:tentative="1">
      <w:start w:val="1"/>
      <w:numFmt w:val="bullet"/>
      <w:lvlText w:val=""/>
      <w:lvlJc w:val="left"/>
      <w:pPr>
        <w:ind w:left="5758" w:hanging="360"/>
      </w:pPr>
      <w:rPr>
        <w:rFonts w:ascii="Symbol" w:hAnsi="Symbol" w:hint="default"/>
      </w:rPr>
    </w:lvl>
    <w:lvl w:ilvl="7" w:tplc="0C070003" w:tentative="1">
      <w:start w:val="1"/>
      <w:numFmt w:val="bullet"/>
      <w:lvlText w:val="o"/>
      <w:lvlJc w:val="left"/>
      <w:pPr>
        <w:ind w:left="6478" w:hanging="360"/>
      </w:pPr>
      <w:rPr>
        <w:rFonts w:ascii="Courier New" w:hAnsi="Courier New" w:cs="Courier New" w:hint="default"/>
      </w:rPr>
    </w:lvl>
    <w:lvl w:ilvl="8" w:tplc="0C070005" w:tentative="1">
      <w:start w:val="1"/>
      <w:numFmt w:val="bullet"/>
      <w:lvlText w:val=""/>
      <w:lvlJc w:val="left"/>
      <w:pPr>
        <w:ind w:left="7198" w:hanging="360"/>
      </w:pPr>
      <w:rPr>
        <w:rFonts w:ascii="Wingdings" w:hAnsi="Wingdings" w:hint="default"/>
      </w:rPr>
    </w:lvl>
  </w:abstractNum>
  <w:abstractNum w:abstractNumId="7" w15:restartNumberingAfterBreak="0">
    <w:nsid w:val="62286B4C"/>
    <w:multiLevelType w:val="hybridMultilevel"/>
    <w:tmpl w:val="17242074"/>
    <w:lvl w:ilvl="0" w:tplc="15E071F2">
      <w:start w:val="1"/>
      <w:numFmt w:val="bullet"/>
      <w:lvlText w:val=""/>
      <w:lvlJc w:val="left"/>
      <w:pPr>
        <w:ind w:left="720" w:hanging="360"/>
      </w:pPr>
      <w:rPr>
        <w:rFonts w:ascii="Symbol" w:hAnsi="Symbol" w:hint="default"/>
      </w:rPr>
    </w:lvl>
    <w:lvl w:ilvl="1" w:tplc="0C070003" w:tentative="1">
      <w:start w:val="1"/>
      <w:numFmt w:val="bullet"/>
      <w:lvlText w:val="o"/>
      <w:lvlJc w:val="left"/>
      <w:pPr>
        <w:ind w:left="1440" w:hanging="360"/>
      </w:pPr>
      <w:rPr>
        <w:rFonts w:ascii="Courier New" w:hAnsi="Courier New" w:cs="Courier New" w:hint="default"/>
      </w:rPr>
    </w:lvl>
    <w:lvl w:ilvl="2" w:tplc="0C070005" w:tentative="1">
      <w:start w:val="1"/>
      <w:numFmt w:val="bullet"/>
      <w:lvlText w:val=""/>
      <w:lvlJc w:val="left"/>
      <w:pPr>
        <w:ind w:left="2160" w:hanging="360"/>
      </w:pPr>
      <w:rPr>
        <w:rFonts w:ascii="Wingdings" w:hAnsi="Wingdings" w:hint="default"/>
      </w:rPr>
    </w:lvl>
    <w:lvl w:ilvl="3" w:tplc="0C070001" w:tentative="1">
      <w:start w:val="1"/>
      <w:numFmt w:val="bullet"/>
      <w:lvlText w:val=""/>
      <w:lvlJc w:val="left"/>
      <w:pPr>
        <w:ind w:left="2880" w:hanging="360"/>
      </w:pPr>
      <w:rPr>
        <w:rFonts w:ascii="Symbol" w:hAnsi="Symbol" w:hint="default"/>
      </w:rPr>
    </w:lvl>
    <w:lvl w:ilvl="4" w:tplc="0C070003" w:tentative="1">
      <w:start w:val="1"/>
      <w:numFmt w:val="bullet"/>
      <w:lvlText w:val="o"/>
      <w:lvlJc w:val="left"/>
      <w:pPr>
        <w:ind w:left="3600" w:hanging="360"/>
      </w:pPr>
      <w:rPr>
        <w:rFonts w:ascii="Courier New" w:hAnsi="Courier New" w:cs="Courier New" w:hint="default"/>
      </w:rPr>
    </w:lvl>
    <w:lvl w:ilvl="5" w:tplc="0C070005" w:tentative="1">
      <w:start w:val="1"/>
      <w:numFmt w:val="bullet"/>
      <w:lvlText w:val=""/>
      <w:lvlJc w:val="left"/>
      <w:pPr>
        <w:ind w:left="4320" w:hanging="360"/>
      </w:pPr>
      <w:rPr>
        <w:rFonts w:ascii="Wingdings" w:hAnsi="Wingdings" w:hint="default"/>
      </w:rPr>
    </w:lvl>
    <w:lvl w:ilvl="6" w:tplc="0C070001" w:tentative="1">
      <w:start w:val="1"/>
      <w:numFmt w:val="bullet"/>
      <w:lvlText w:val=""/>
      <w:lvlJc w:val="left"/>
      <w:pPr>
        <w:ind w:left="5040" w:hanging="360"/>
      </w:pPr>
      <w:rPr>
        <w:rFonts w:ascii="Symbol" w:hAnsi="Symbol" w:hint="default"/>
      </w:rPr>
    </w:lvl>
    <w:lvl w:ilvl="7" w:tplc="0C070003" w:tentative="1">
      <w:start w:val="1"/>
      <w:numFmt w:val="bullet"/>
      <w:lvlText w:val="o"/>
      <w:lvlJc w:val="left"/>
      <w:pPr>
        <w:ind w:left="5760" w:hanging="360"/>
      </w:pPr>
      <w:rPr>
        <w:rFonts w:ascii="Courier New" w:hAnsi="Courier New" w:cs="Courier New" w:hint="default"/>
      </w:rPr>
    </w:lvl>
    <w:lvl w:ilvl="8" w:tplc="0C070005" w:tentative="1">
      <w:start w:val="1"/>
      <w:numFmt w:val="bullet"/>
      <w:lvlText w:val=""/>
      <w:lvlJc w:val="left"/>
      <w:pPr>
        <w:ind w:left="6480" w:hanging="360"/>
      </w:pPr>
      <w:rPr>
        <w:rFonts w:ascii="Wingdings" w:hAnsi="Wingdings" w:hint="default"/>
      </w:rPr>
    </w:lvl>
  </w:abstractNum>
  <w:num w:numId="1" w16cid:durableId="355618604">
    <w:abstractNumId w:val="7"/>
  </w:num>
  <w:num w:numId="2" w16cid:durableId="941884378">
    <w:abstractNumId w:val="0"/>
  </w:num>
  <w:num w:numId="3" w16cid:durableId="1167474022">
    <w:abstractNumId w:val="4"/>
  </w:num>
  <w:num w:numId="4" w16cid:durableId="477265520">
    <w:abstractNumId w:val="6"/>
  </w:num>
  <w:num w:numId="5" w16cid:durableId="492600403">
    <w:abstractNumId w:val="5"/>
  </w:num>
  <w:num w:numId="6" w16cid:durableId="571237183">
    <w:abstractNumId w:val="1"/>
  </w:num>
  <w:num w:numId="7" w16cid:durableId="106973818">
    <w:abstractNumId w:val="3"/>
  </w:num>
  <w:num w:numId="8" w16cid:durableId="1884947905">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6625"/>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549"/>
    <w:rsid w:val="00001B94"/>
    <w:rsid w:val="0001297E"/>
    <w:rsid w:val="000223CE"/>
    <w:rsid w:val="000262E1"/>
    <w:rsid w:val="00030C3B"/>
    <w:rsid w:val="00050CA3"/>
    <w:rsid w:val="00075E03"/>
    <w:rsid w:val="00077DDF"/>
    <w:rsid w:val="00086BA5"/>
    <w:rsid w:val="000A3045"/>
    <w:rsid w:val="000B0167"/>
    <w:rsid w:val="000B2252"/>
    <w:rsid w:val="000B4B17"/>
    <w:rsid w:val="000C153C"/>
    <w:rsid w:val="000C480A"/>
    <w:rsid w:val="000D0E88"/>
    <w:rsid w:val="000E1336"/>
    <w:rsid w:val="000E30D3"/>
    <w:rsid w:val="000E6ED2"/>
    <w:rsid w:val="000F0A99"/>
    <w:rsid w:val="00102F0B"/>
    <w:rsid w:val="0010367F"/>
    <w:rsid w:val="00105E2F"/>
    <w:rsid w:val="00124D5C"/>
    <w:rsid w:val="001273DB"/>
    <w:rsid w:val="0015484D"/>
    <w:rsid w:val="00163975"/>
    <w:rsid w:val="001668E3"/>
    <w:rsid w:val="00196F99"/>
    <w:rsid w:val="001A34C4"/>
    <w:rsid w:val="001A4ABB"/>
    <w:rsid w:val="001B4713"/>
    <w:rsid w:val="001E0883"/>
    <w:rsid w:val="001E40FF"/>
    <w:rsid w:val="00202BA1"/>
    <w:rsid w:val="0020361A"/>
    <w:rsid w:val="00206AAB"/>
    <w:rsid w:val="002176F4"/>
    <w:rsid w:val="0024308B"/>
    <w:rsid w:val="00244059"/>
    <w:rsid w:val="00282219"/>
    <w:rsid w:val="002878B7"/>
    <w:rsid w:val="002975A8"/>
    <w:rsid w:val="002C383B"/>
    <w:rsid w:val="002D4EDD"/>
    <w:rsid w:val="002D587E"/>
    <w:rsid w:val="002D7A44"/>
    <w:rsid w:val="002E4785"/>
    <w:rsid w:val="002F207D"/>
    <w:rsid w:val="002F2BDF"/>
    <w:rsid w:val="003405C8"/>
    <w:rsid w:val="0035105E"/>
    <w:rsid w:val="00367059"/>
    <w:rsid w:val="00385E37"/>
    <w:rsid w:val="00387CE6"/>
    <w:rsid w:val="003D1173"/>
    <w:rsid w:val="003D5E1B"/>
    <w:rsid w:val="003E6855"/>
    <w:rsid w:val="003F7CBB"/>
    <w:rsid w:val="00400B6E"/>
    <w:rsid w:val="00403C78"/>
    <w:rsid w:val="00413468"/>
    <w:rsid w:val="00424297"/>
    <w:rsid w:val="00427121"/>
    <w:rsid w:val="004303CC"/>
    <w:rsid w:val="0044171E"/>
    <w:rsid w:val="004420B7"/>
    <w:rsid w:val="004448C8"/>
    <w:rsid w:val="004514C1"/>
    <w:rsid w:val="00451F65"/>
    <w:rsid w:val="00452C37"/>
    <w:rsid w:val="00455012"/>
    <w:rsid w:val="00457027"/>
    <w:rsid w:val="004630FE"/>
    <w:rsid w:val="00464C4A"/>
    <w:rsid w:val="00470A9D"/>
    <w:rsid w:val="00477AA8"/>
    <w:rsid w:val="00486CF0"/>
    <w:rsid w:val="004933ED"/>
    <w:rsid w:val="004C3DE2"/>
    <w:rsid w:val="004C41B9"/>
    <w:rsid w:val="004C5005"/>
    <w:rsid w:val="004D2B47"/>
    <w:rsid w:val="004E4178"/>
    <w:rsid w:val="0051114E"/>
    <w:rsid w:val="00512C4C"/>
    <w:rsid w:val="00520B9D"/>
    <w:rsid w:val="00531FE1"/>
    <w:rsid w:val="00536054"/>
    <w:rsid w:val="00544C48"/>
    <w:rsid w:val="0055170B"/>
    <w:rsid w:val="00560B93"/>
    <w:rsid w:val="0056335A"/>
    <w:rsid w:val="00576441"/>
    <w:rsid w:val="00580B8B"/>
    <w:rsid w:val="00582BF5"/>
    <w:rsid w:val="005A1F5E"/>
    <w:rsid w:val="005A26BF"/>
    <w:rsid w:val="005B2AA1"/>
    <w:rsid w:val="005C4594"/>
    <w:rsid w:val="005E64B3"/>
    <w:rsid w:val="00604BFB"/>
    <w:rsid w:val="00610CC6"/>
    <w:rsid w:val="006118F9"/>
    <w:rsid w:val="006250E6"/>
    <w:rsid w:val="00651247"/>
    <w:rsid w:val="00661693"/>
    <w:rsid w:val="00670F02"/>
    <w:rsid w:val="006835B1"/>
    <w:rsid w:val="006874F0"/>
    <w:rsid w:val="00691B56"/>
    <w:rsid w:val="00694B2F"/>
    <w:rsid w:val="00696800"/>
    <w:rsid w:val="006A1A63"/>
    <w:rsid w:val="006B64E7"/>
    <w:rsid w:val="006C2F82"/>
    <w:rsid w:val="006D2AEF"/>
    <w:rsid w:val="006D6430"/>
    <w:rsid w:val="00703668"/>
    <w:rsid w:val="00703F47"/>
    <w:rsid w:val="00717144"/>
    <w:rsid w:val="00730C60"/>
    <w:rsid w:val="00732E84"/>
    <w:rsid w:val="007646D4"/>
    <w:rsid w:val="00765198"/>
    <w:rsid w:val="0077415F"/>
    <w:rsid w:val="0078525A"/>
    <w:rsid w:val="007A07DE"/>
    <w:rsid w:val="007A57E3"/>
    <w:rsid w:val="007A60A2"/>
    <w:rsid w:val="007C61B7"/>
    <w:rsid w:val="007E1AC0"/>
    <w:rsid w:val="00816914"/>
    <w:rsid w:val="0083053C"/>
    <w:rsid w:val="00831633"/>
    <w:rsid w:val="008404EE"/>
    <w:rsid w:val="00846F1F"/>
    <w:rsid w:val="00861F4A"/>
    <w:rsid w:val="0086534F"/>
    <w:rsid w:val="00884DE1"/>
    <w:rsid w:val="00890C66"/>
    <w:rsid w:val="008931C0"/>
    <w:rsid w:val="008B1353"/>
    <w:rsid w:val="008C20E2"/>
    <w:rsid w:val="008C5190"/>
    <w:rsid w:val="008D7983"/>
    <w:rsid w:val="008E1774"/>
    <w:rsid w:val="008F4ED5"/>
    <w:rsid w:val="00901E8B"/>
    <w:rsid w:val="00904B5D"/>
    <w:rsid w:val="00906151"/>
    <w:rsid w:val="00906679"/>
    <w:rsid w:val="009138B9"/>
    <w:rsid w:val="009319D8"/>
    <w:rsid w:val="00931AF5"/>
    <w:rsid w:val="0094020D"/>
    <w:rsid w:val="00947D95"/>
    <w:rsid w:val="00962B6D"/>
    <w:rsid w:val="00963BB4"/>
    <w:rsid w:val="00973A9B"/>
    <w:rsid w:val="00980E44"/>
    <w:rsid w:val="009C3A16"/>
    <w:rsid w:val="009C6149"/>
    <w:rsid w:val="009C734D"/>
    <w:rsid w:val="009D18F5"/>
    <w:rsid w:val="00A33FA2"/>
    <w:rsid w:val="00A5104A"/>
    <w:rsid w:val="00A57013"/>
    <w:rsid w:val="00A57071"/>
    <w:rsid w:val="00A65F08"/>
    <w:rsid w:val="00A66F74"/>
    <w:rsid w:val="00A86A23"/>
    <w:rsid w:val="00A9732E"/>
    <w:rsid w:val="00AB1EF3"/>
    <w:rsid w:val="00AE7975"/>
    <w:rsid w:val="00B25C3B"/>
    <w:rsid w:val="00B27C9A"/>
    <w:rsid w:val="00B309A8"/>
    <w:rsid w:val="00B52F2E"/>
    <w:rsid w:val="00B54547"/>
    <w:rsid w:val="00B649D0"/>
    <w:rsid w:val="00B8257D"/>
    <w:rsid w:val="00B82AAE"/>
    <w:rsid w:val="00BB13FF"/>
    <w:rsid w:val="00BB6194"/>
    <w:rsid w:val="00BD1122"/>
    <w:rsid w:val="00BD6B11"/>
    <w:rsid w:val="00BE44BF"/>
    <w:rsid w:val="00BF2123"/>
    <w:rsid w:val="00BF50E3"/>
    <w:rsid w:val="00C00F8C"/>
    <w:rsid w:val="00C17BEE"/>
    <w:rsid w:val="00C44B9C"/>
    <w:rsid w:val="00C46719"/>
    <w:rsid w:val="00C52139"/>
    <w:rsid w:val="00C54D7E"/>
    <w:rsid w:val="00C612E6"/>
    <w:rsid w:val="00C67F81"/>
    <w:rsid w:val="00C84C0B"/>
    <w:rsid w:val="00C85FF4"/>
    <w:rsid w:val="00C921A2"/>
    <w:rsid w:val="00CA56AD"/>
    <w:rsid w:val="00CB1448"/>
    <w:rsid w:val="00CB490F"/>
    <w:rsid w:val="00CC0612"/>
    <w:rsid w:val="00CD3159"/>
    <w:rsid w:val="00CD4F4A"/>
    <w:rsid w:val="00CD66CE"/>
    <w:rsid w:val="00D020CB"/>
    <w:rsid w:val="00D0522E"/>
    <w:rsid w:val="00D24DA8"/>
    <w:rsid w:val="00D36739"/>
    <w:rsid w:val="00D4115E"/>
    <w:rsid w:val="00D41B29"/>
    <w:rsid w:val="00D61309"/>
    <w:rsid w:val="00D62695"/>
    <w:rsid w:val="00D77E57"/>
    <w:rsid w:val="00D81F9F"/>
    <w:rsid w:val="00DA3090"/>
    <w:rsid w:val="00DB531C"/>
    <w:rsid w:val="00DE201A"/>
    <w:rsid w:val="00DE432C"/>
    <w:rsid w:val="00DF3C07"/>
    <w:rsid w:val="00DF4951"/>
    <w:rsid w:val="00DF5290"/>
    <w:rsid w:val="00DF6289"/>
    <w:rsid w:val="00E020FD"/>
    <w:rsid w:val="00E0577F"/>
    <w:rsid w:val="00E1035E"/>
    <w:rsid w:val="00E11717"/>
    <w:rsid w:val="00E36458"/>
    <w:rsid w:val="00E70885"/>
    <w:rsid w:val="00E80BD4"/>
    <w:rsid w:val="00E830CB"/>
    <w:rsid w:val="00E83DD7"/>
    <w:rsid w:val="00E90D95"/>
    <w:rsid w:val="00E9591C"/>
    <w:rsid w:val="00EA26EC"/>
    <w:rsid w:val="00EB2D73"/>
    <w:rsid w:val="00EB6260"/>
    <w:rsid w:val="00EC334F"/>
    <w:rsid w:val="00EC6E68"/>
    <w:rsid w:val="00ED5549"/>
    <w:rsid w:val="00ED627A"/>
    <w:rsid w:val="00ED6974"/>
    <w:rsid w:val="00EE3DDF"/>
    <w:rsid w:val="00EE59F1"/>
    <w:rsid w:val="00EF6396"/>
    <w:rsid w:val="00EF6AE6"/>
    <w:rsid w:val="00F06B35"/>
    <w:rsid w:val="00F07FBA"/>
    <w:rsid w:val="00F37C03"/>
    <w:rsid w:val="00F4548A"/>
    <w:rsid w:val="00F53DEB"/>
    <w:rsid w:val="00FA7DE5"/>
    <w:rsid w:val="00FC4EF8"/>
    <w:rsid w:val="00FD0EE7"/>
    <w:rsid w:val="00FD50E0"/>
    <w:rsid w:val="00FD6D97"/>
    <w:rsid w:val="00FE3F42"/>
  </w:rsids>
  <m:mathPr>
    <m:mathFont m:val="Cambria Math"/>
    <m:brkBin m:val="before"/>
    <m:brkBinSub m:val="--"/>
    <m:smallFrac m:val="0"/>
    <m:dispDef/>
    <m:lMargin m:val="0"/>
    <m:rMargin m:val="0"/>
    <m:defJc m:val="centerGroup"/>
    <m:wrapIndent m:val="1440"/>
    <m:intLim m:val="subSup"/>
    <m:naryLim m:val="undOvr"/>
  </m:mathPr>
  <w:themeFontLang w:val="de-AT" w:eastAsia="zh-CN"/>
  <w:clrSchemeMapping w:bg1="light1" w:t1="dark1" w:bg2="light2" w:t2="dark2" w:accent1="accent1" w:accent2="accent2" w:accent3="accent3" w:accent4="accent4" w:accent5="accent5" w:accent6="accent6" w:hyperlink="hyperlink" w:followedHyperlink="followedHyperlink"/>
  <w:shapeDefaults>
    <o:shapedefaults v:ext="edit" spidmax="26625"/>
    <o:shapelayout v:ext="edit">
      <o:idmap v:ext="edit" data="1"/>
    </o:shapelayout>
  </w:shapeDefaults>
  <w:decimalSymbol w:val=","/>
  <w:listSeparator w:val=";"/>
  <w14:docId w14:val="44FC8BC6"/>
  <w15:chartTrackingRefBased/>
  <w15:docId w15:val="{5066E15E-C143-4638-AA7D-5071D9CB4CA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0"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D7A44"/>
    <w:rPr>
      <w:rFonts w:ascii="Noto Sans" w:hAnsi="Noto Sans"/>
    </w:rPr>
  </w:style>
  <w:style w:type="paragraph" w:styleId="Ttulo1">
    <w:name w:val="heading 1"/>
    <w:basedOn w:val="Normal"/>
    <w:next w:val="Normal"/>
    <w:link w:val="Ttulo1Car"/>
    <w:uiPriority w:val="9"/>
    <w:qFormat/>
    <w:rsid w:val="002D7A44"/>
    <w:pPr>
      <w:keepNext/>
      <w:keepLines/>
      <w:spacing w:before="240" w:after="0"/>
      <w:outlineLvl w:val="0"/>
    </w:pPr>
    <w:rPr>
      <w:rFonts w:eastAsiaTheme="majorEastAsia" w:cstheme="majorBidi"/>
      <w:color w:val="D73237"/>
      <w:sz w:val="36"/>
      <w:szCs w:val="32"/>
    </w:rPr>
  </w:style>
  <w:style w:type="paragraph" w:styleId="Ttulo2">
    <w:name w:val="heading 2"/>
    <w:basedOn w:val="Normal"/>
    <w:next w:val="Normal"/>
    <w:link w:val="Ttulo2Car"/>
    <w:uiPriority w:val="9"/>
    <w:unhideWhenUsed/>
    <w:qFormat/>
    <w:rsid w:val="003E6855"/>
    <w:pPr>
      <w:keepNext/>
      <w:keepLines/>
      <w:spacing w:before="40" w:after="0"/>
      <w:outlineLvl w:val="1"/>
    </w:pPr>
    <w:rPr>
      <w:rFonts w:eastAsiaTheme="majorEastAsia" w:cstheme="majorBidi"/>
      <w:color w:val="D73237"/>
      <w:sz w:val="28"/>
      <w:szCs w:val="26"/>
    </w:rPr>
  </w:style>
  <w:style w:type="paragraph" w:styleId="Ttulo3">
    <w:name w:val="heading 3"/>
    <w:basedOn w:val="Normal"/>
    <w:next w:val="Normal"/>
    <w:link w:val="Ttulo3Car"/>
    <w:uiPriority w:val="9"/>
    <w:unhideWhenUsed/>
    <w:qFormat/>
    <w:rsid w:val="003E6855"/>
    <w:pPr>
      <w:keepNext/>
      <w:keepLines/>
      <w:spacing w:before="40" w:after="0"/>
      <w:outlineLvl w:val="2"/>
    </w:pPr>
    <w:rPr>
      <w:rFonts w:eastAsiaTheme="majorEastAsia" w:cstheme="majorBidi"/>
      <w:color w:val="D73237"/>
      <w:sz w:val="24"/>
      <w:szCs w:val="24"/>
    </w:rPr>
  </w:style>
  <w:style w:type="paragraph" w:styleId="Ttulo4">
    <w:name w:val="heading 4"/>
    <w:basedOn w:val="Normal"/>
    <w:next w:val="Normal"/>
    <w:link w:val="Ttulo4Car"/>
    <w:uiPriority w:val="9"/>
    <w:unhideWhenUsed/>
    <w:qFormat/>
    <w:rsid w:val="00670F02"/>
    <w:pPr>
      <w:keepNext/>
      <w:keepLines/>
      <w:spacing w:before="40" w:after="0"/>
      <w:outlineLvl w:val="3"/>
    </w:pPr>
    <w:rPr>
      <w:rFonts w:eastAsiaTheme="majorEastAsia" w:cstheme="majorBidi"/>
      <w:iCs/>
      <w:color w:val="000000" w:themeColor="text1"/>
      <w:u w:val="single"/>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Sinespaciado">
    <w:name w:val="No Spacing"/>
    <w:uiPriority w:val="1"/>
    <w:qFormat/>
    <w:rsid w:val="002D7A44"/>
    <w:pPr>
      <w:spacing w:after="0" w:line="240" w:lineRule="auto"/>
    </w:pPr>
    <w:rPr>
      <w:rFonts w:ascii="Noto Sans" w:hAnsi="Noto Sans"/>
    </w:rPr>
  </w:style>
  <w:style w:type="paragraph" w:styleId="Ttulo">
    <w:name w:val="Title"/>
    <w:basedOn w:val="Normal"/>
    <w:next w:val="Normal"/>
    <w:link w:val="TtuloCar"/>
    <w:uiPriority w:val="10"/>
    <w:qFormat/>
    <w:rsid w:val="002D7A44"/>
    <w:pPr>
      <w:spacing w:after="0" w:line="240" w:lineRule="auto"/>
      <w:contextualSpacing/>
    </w:pPr>
    <w:rPr>
      <w:rFonts w:eastAsiaTheme="majorEastAsia" w:cstheme="majorBidi"/>
      <w:spacing w:val="-10"/>
      <w:kern w:val="28"/>
      <w:sz w:val="56"/>
      <w:szCs w:val="56"/>
    </w:rPr>
  </w:style>
  <w:style w:type="character" w:customStyle="1" w:styleId="TtuloCar">
    <w:name w:val="Título Car"/>
    <w:basedOn w:val="Fuentedeprrafopredeter"/>
    <w:link w:val="Ttulo"/>
    <w:uiPriority w:val="10"/>
    <w:rsid w:val="002D7A44"/>
    <w:rPr>
      <w:rFonts w:ascii="Noto Sans" w:eastAsiaTheme="majorEastAsia" w:hAnsi="Noto Sans" w:cstheme="majorBidi"/>
      <w:spacing w:val="-10"/>
      <w:kern w:val="28"/>
      <w:sz w:val="56"/>
      <w:szCs w:val="56"/>
    </w:rPr>
  </w:style>
  <w:style w:type="paragraph" w:styleId="Prrafodelista">
    <w:name w:val="List Paragraph"/>
    <w:basedOn w:val="Normal"/>
    <w:link w:val="PrrafodelistaCar"/>
    <w:uiPriority w:val="34"/>
    <w:qFormat/>
    <w:rsid w:val="002D7A44"/>
    <w:pPr>
      <w:ind w:left="720"/>
      <w:contextualSpacing/>
    </w:pPr>
  </w:style>
  <w:style w:type="character" w:customStyle="1" w:styleId="Ttulo1Car">
    <w:name w:val="Título 1 Car"/>
    <w:basedOn w:val="Fuentedeprrafopredeter"/>
    <w:link w:val="Ttulo1"/>
    <w:uiPriority w:val="9"/>
    <w:rsid w:val="002D7A44"/>
    <w:rPr>
      <w:rFonts w:ascii="Noto Sans" w:eastAsiaTheme="majorEastAsia" w:hAnsi="Noto Sans" w:cstheme="majorBidi"/>
      <w:color w:val="D73237"/>
      <w:sz w:val="36"/>
      <w:szCs w:val="32"/>
    </w:rPr>
  </w:style>
  <w:style w:type="character" w:customStyle="1" w:styleId="Ttulo2Car">
    <w:name w:val="Título 2 Car"/>
    <w:basedOn w:val="Fuentedeprrafopredeter"/>
    <w:link w:val="Ttulo2"/>
    <w:uiPriority w:val="9"/>
    <w:rsid w:val="003E6855"/>
    <w:rPr>
      <w:rFonts w:ascii="Noto Sans" w:eastAsiaTheme="majorEastAsia" w:hAnsi="Noto Sans" w:cstheme="majorBidi"/>
      <w:color w:val="D73237"/>
      <w:sz w:val="28"/>
      <w:szCs w:val="26"/>
    </w:rPr>
  </w:style>
  <w:style w:type="character" w:customStyle="1" w:styleId="Ttulo3Car">
    <w:name w:val="Título 3 Car"/>
    <w:basedOn w:val="Fuentedeprrafopredeter"/>
    <w:link w:val="Ttulo3"/>
    <w:uiPriority w:val="9"/>
    <w:rsid w:val="003E6855"/>
    <w:rPr>
      <w:rFonts w:ascii="Noto Sans" w:eastAsiaTheme="majorEastAsia" w:hAnsi="Noto Sans" w:cstheme="majorBidi"/>
      <w:color w:val="D73237"/>
      <w:sz w:val="24"/>
      <w:szCs w:val="24"/>
    </w:rPr>
  </w:style>
  <w:style w:type="character" w:customStyle="1" w:styleId="Ttulo4Car">
    <w:name w:val="Título 4 Car"/>
    <w:basedOn w:val="Fuentedeprrafopredeter"/>
    <w:link w:val="Ttulo4"/>
    <w:uiPriority w:val="9"/>
    <w:rsid w:val="00670F02"/>
    <w:rPr>
      <w:rFonts w:ascii="Noto Sans" w:eastAsiaTheme="majorEastAsia" w:hAnsi="Noto Sans" w:cstheme="majorBidi"/>
      <w:iCs/>
      <w:color w:val="000000" w:themeColor="text1"/>
      <w:u w:val="single"/>
    </w:rPr>
  </w:style>
  <w:style w:type="paragraph" w:styleId="Subttulo">
    <w:name w:val="Subtitle"/>
    <w:basedOn w:val="Normal"/>
    <w:next w:val="Normal"/>
    <w:link w:val="SubttuloCar"/>
    <w:uiPriority w:val="11"/>
    <w:qFormat/>
    <w:rsid w:val="003E6855"/>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3E6855"/>
    <w:rPr>
      <w:rFonts w:ascii="Noto Sans" w:eastAsiaTheme="minorEastAsia" w:hAnsi="Noto Sans"/>
      <w:color w:val="5A5A5A" w:themeColor="text1" w:themeTint="A5"/>
      <w:spacing w:val="15"/>
    </w:rPr>
  </w:style>
  <w:style w:type="character" w:styleId="Referenciaintensa">
    <w:name w:val="Intense Reference"/>
    <w:basedOn w:val="Fuentedeprrafopredeter"/>
    <w:uiPriority w:val="32"/>
    <w:qFormat/>
    <w:rsid w:val="001668E3"/>
    <w:rPr>
      <w:b/>
      <w:bCs/>
      <w:smallCaps/>
      <w:color w:val="D73237"/>
      <w:spacing w:val="5"/>
    </w:rPr>
  </w:style>
  <w:style w:type="paragraph" w:styleId="Citadestacada">
    <w:name w:val="Intense Quote"/>
    <w:basedOn w:val="Normal"/>
    <w:next w:val="Normal"/>
    <w:link w:val="CitadestacadaCar"/>
    <w:uiPriority w:val="30"/>
    <w:qFormat/>
    <w:rsid w:val="006D6430"/>
    <w:pPr>
      <w:pBdr>
        <w:top w:val="single" w:sz="4" w:space="10" w:color="D73237"/>
        <w:bottom w:val="single" w:sz="4" w:space="10" w:color="D73237"/>
      </w:pBdr>
      <w:spacing w:before="360" w:after="360"/>
      <w:ind w:left="864" w:right="864"/>
      <w:jc w:val="center"/>
    </w:pPr>
    <w:rPr>
      <w:i/>
      <w:iCs/>
      <w:color w:val="D73237"/>
    </w:rPr>
  </w:style>
  <w:style w:type="character" w:customStyle="1" w:styleId="CitadestacadaCar">
    <w:name w:val="Cita destacada Car"/>
    <w:basedOn w:val="Fuentedeprrafopredeter"/>
    <w:link w:val="Citadestacada"/>
    <w:uiPriority w:val="30"/>
    <w:rsid w:val="006D6430"/>
    <w:rPr>
      <w:rFonts w:ascii="Noto Sans" w:hAnsi="Noto Sans"/>
      <w:i/>
      <w:iCs/>
      <w:color w:val="D73237"/>
    </w:rPr>
  </w:style>
  <w:style w:type="paragraph" w:styleId="Encabezado">
    <w:name w:val="header"/>
    <w:basedOn w:val="Normal"/>
    <w:link w:val="EncabezadoCar"/>
    <w:uiPriority w:val="99"/>
    <w:unhideWhenUsed/>
    <w:rsid w:val="00B54547"/>
    <w:pPr>
      <w:tabs>
        <w:tab w:val="center" w:pos="4536"/>
        <w:tab w:val="right" w:pos="9072"/>
      </w:tabs>
      <w:spacing w:after="0" w:line="240" w:lineRule="auto"/>
    </w:pPr>
  </w:style>
  <w:style w:type="character" w:customStyle="1" w:styleId="EncabezadoCar">
    <w:name w:val="Encabezado Car"/>
    <w:basedOn w:val="Fuentedeprrafopredeter"/>
    <w:link w:val="Encabezado"/>
    <w:uiPriority w:val="99"/>
    <w:rsid w:val="00B54547"/>
    <w:rPr>
      <w:rFonts w:ascii="Noto Sans" w:hAnsi="Noto Sans"/>
    </w:rPr>
  </w:style>
  <w:style w:type="paragraph" w:styleId="Piedepgina">
    <w:name w:val="footer"/>
    <w:basedOn w:val="Normal"/>
    <w:link w:val="PiedepginaCar"/>
    <w:uiPriority w:val="99"/>
    <w:unhideWhenUsed/>
    <w:rsid w:val="00B54547"/>
    <w:pPr>
      <w:tabs>
        <w:tab w:val="center" w:pos="4536"/>
        <w:tab w:val="right" w:pos="9072"/>
      </w:tabs>
      <w:spacing w:after="0" w:line="240" w:lineRule="auto"/>
    </w:pPr>
  </w:style>
  <w:style w:type="character" w:customStyle="1" w:styleId="PiedepginaCar">
    <w:name w:val="Pie de página Car"/>
    <w:basedOn w:val="Fuentedeprrafopredeter"/>
    <w:link w:val="Piedepgina"/>
    <w:uiPriority w:val="99"/>
    <w:rsid w:val="00B54547"/>
    <w:rPr>
      <w:rFonts w:ascii="Noto Sans" w:hAnsi="Noto Sans"/>
    </w:rPr>
  </w:style>
  <w:style w:type="paragraph" w:customStyle="1" w:styleId="Headline1-MG">
    <w:name w:val="Headline 1 - MG"/>
    <w:next w:val="Normal"/>
    <w:link w:val="Headline1-MGZchn"/>
    <w:rsid w:val="006D6430"/>
    <w:pPr>
      <w:numPr>
        <w:numId w:val="7"/>
      </w:numPr>
    </w:pPr>
    <w:rPr>
      <w:rFonts w:ascii="Noto Sans" w:eastAsiaTheme="majorEastAsia" w:hAnsi="Noto Sans" w:cstheme="majorBidi"/>
      <w:color w:val="B4C3AA"/>
      <w:sz w:val="36"/>
      <w:szCs w:val="32"/>
    </w:rPr>
  </w:style>
  <w:style w:type="paragraph" w:customStyle="1" w:styleId="HeadlineGreen">
    <w:name w:val="Headline Green"/>
    <w:basedOn w:val="Ttulo1"/>
    <w:next w:val="Normal"/>
    <w:link w:val="HeadlineGreenZchn"/>
    <w:qFormat/>
    <w:rsid w:val="00703F47"/>
    <w:rPr>
      <w:color w:val="B4C3AA"/>
    </w:rPr>
  </w:style>
  <w:style w:type="character" w:customStyle="1" w:styleId="PrrafodelistaCar">
    <w:name w:val="Párrafo de lista Car"/>
    <w:basedOn w:val="Fuentedeprrafopredeter"/>
    <w:link w:val="Prrafodelista"/>
    <w:uiPriority w:val="34"/>
    <w:rsid w:val="006D6430"/>
    <w:rPr>
      <w:rFonts w:ascii="Noto Sans" w:hAnsi="Noto Sans"/>
    </w:rPr>
  </w:style>
  <w:style w:type="character" w:customStyle="1" w:styleId="Headline1-MGZchn">
    <w:name w:val="Headline 1 - MG Zchn"/>
    <w:basedOn w:val="PrrafodelistaCar"/>
    <w:link w:val="Headline1-MG"/>
    <w:rsid w:val="006D6430"/>
    <w:rPr>
      <w:rFonts w:ascii="Noto Sans" w:eastAsiaTheme="majorEastAsia" w:hAnsi="Noto Sans" w:cstheme="majorBidi"/>
      <w:color w:val="B4C3AA"/>
      <w:sz w:val="36"/>
      <w:szCs w:val="32"/>
      <w:lang w:val="es-ES"/>
    </w:rPr>
  </w:style>
  <w:style w:type="character" w:customStyle="1" w:styleId="HeadlineGreenZchn">
    <w:name w:val="Headline Green Zchn"/>
    <w:basedOn w:val="Fuentedeprrafopredeter"/>
    <w:link w:val="HeadlineGreen"/>
    <w:rsid w:val="00703F47"/>
    <w:rPr>
      <w:rFonts w:ascii="Noto Sans" w:eastAsiaTheme="majorEastAsia" w:hAnsi="Noto Sans" w:cstheme="majorBidi"/>
      <w:color w:val="B4C3AA"/>
      <w:sz w:val="36"/>
      <w:szCs w:val="32"/>
      <w:lang w:val="es-ES"/>
    </w:rPr>
  </w:style>
  <w:style w:type="character" w:styleId="Hipervnculo">
    <w:name w:val="Hyperlink"/>
    <w:basedOn w:val="Fuentedeprrafopredeter"/>
    <w:uiPriority w:val="99"/>
    <w:unhideWhenUsed/>
    <w:rsid w:val="00EC6E68"/>
    <w:rPr>
      <w:color w:val="0563C1" w:themeColor="hyperlink"/>
      <w:u w:val="single"/>
    </w:rPr>
  </w:style>
  <w:style w:type="character" w:styleId="Mencinsinresolver">
    <w:name w:val="Unresolved Mention"/>
    <w:basedOn w:val="Fuentedeprrafopredeter"/>
    <w:uiPriority w:val="99"/>
    <w:semiHidden/>
    <w:unhideWhenUsed/>
    <w:rsid w:val="00EC6E68"/>
    <w:rPr>
      <w:color w:val="605E5C"/>
      <w:shd w:val="clear" w:color="auto" w:fill="E1DFDD"/>
    </w:rPr>
  </w:style>
  <w:style w:type="character" w:styleId="Refdecomentario">
    <w:name w:val="annotation reference"/>
    <w:basedOn w:val="Fuentedeprrafopredeter"/>
    <w:uiPriority w:val="99"/>
    <w:semiHidden/>
    <w:unhideWhenUsed/>
    <w:rsid w:val="00DE432C"/>
    <w:rPr>
      <w:sz w:val="16"/>
      <w:szCs w:val="16"/>
    </w:rPr>
  </w:style>
  <w:style w:type="paragraph" w:styleId="Textocomentario">
    <w:name w:val="annotation text"/>
    <w:basedOn w:val="Normal"/>
    <w:link w:val="TextocomentarioCar"/>
    <w:uiPriority w:val="99"/>
    <w:unhideWhenUsed/>
    <w:rsid w:val="00DE432C"/>
    <w:pPr>
      <w:spacing w:line="240" w:lineRule="auto"/>
    </w:pPr>
    <w:rPr>
      <w:sz w:val="20"/>
      <w:szCs w:val="20"/>
    </w:rPr>
  </w:style>
  <w:style w:type="character" w:customStyle="1" w:styleId="TextocomentarioCar">
    <w:name w:val="Texto comentario Car"/>
    <w:basedOn w:val="Fuentedeprrafopredeter"/>
    <w:link w:val="Textocomentario"/>
    <w:uiPriority w:val="99"/>
    <w:rsid w:val="00DE432C"/>
    <w:rPr>
      <w:rFonts w:ascii="Noto Sans" w:hAnsi="Noto Sans"/>
      <w:sz w:val="20"/>
      <w:szCs w:val="20"/>
    </w:rPr>
  </w:style>
  <w:style w:type="paragraph" w:styleId="Asuntodelcomentario">
    <w:name w:val="annotation subject"/>
    <w:basedOn w:val="Textocomentario"/>
    <w:next w:val="Textocomentario"/>
    <w:link w:val="AsuntodelcomentarioCar"/>
    <w:uiPriority w:val="99"/>
    <w:semiHidden/>
    <w:unhideWhenUsed/>
    <w:rsid w:val="00DE432C"/>
    <w:rPr>
      <w:b/>
      <w:bCs/>
    </w:rPr>
  </w:style>
  <w:style w:type="character" w:customStyle="1" w:styleId="AsuntodelcomentarioCar">
    <w:name w:val="Asunto del comentario Car"/>
    <w:basedOn w:val="TextocomentarioCar"/>
    <w:link w:val="Asuntodelcomentario"/>
    <w:uiPriority w:val="99"/>
    <w:semiHidden/>
    <w:rsid w:val="00DE432C"/>
    <w:rPr>
      <w:rFonts w:ascii="Noto Sans" w:hAnsi="Noto Sans"/>
      <w:b/>
      <w:bCs/>
      <w:sz w:val="20"/>
      <w:szCs w:val="20"/>
    </w:rPr>
  </w:style>
  <w:style w:type="paragraph" w:styleId="Revisin">
    <w:name w:val="Revision"/>
    <w:hidden/>
    <w:uiPriority w:val="99"/>
    <w:semiHidden/>
    <w:rsid w:val="002D4EDD"/>
    <w:pPr>
      <w:spacing w:after="0" w:line="240" w:lineRule="auto"/>
    </w:pPr>
    <w:rPr>
      <w:rFonts w:ascii="Noto Sans" w:hAnsi="Noto Sans"/>
    </w:rPr>
  </w:style>
  <w:style w:type="table" w:styleId="Tablaconcuadrcula">
    <w:name w:val="Table Grid"/>
    <w:basedOn w:val="Tablanormal"/>
    <w:uiPriority w:val="39"/>
    <w:rsid w:val="006C2F8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Textoennegrita">
    <w:name w:val="Strong"/>
    <w:basedOn w:val="Fuentedeprrafopredeter"/>
    <w:qFormat/>
    <w:rsid w:val="002F2BDF"/>
    <w:rPr>
      <w:b/>
      <w:bCs/>
    </w:rPr>
  </w:style>
  <w:style w:type="character" w:customStyle="1" w:styleId="ui-provider">
    <w:name w:val="ui-provider"/>
    <w:basedOn w:val="Fuentedeprrafopredeter"/>
    <w:rsid w:val="00E36458"/>
  </w:style>
  <w:style w:type="paragraph" w:customStyle="1" w:styleId="pf0">
    <w:name w:val="pf0"/>
    <w:basedOn w:val="Normal"/>
    <w:rsid w:val="00E36458"/>
    <w:pPr>
      <w:spacing w:before="100" w:beforeAutospacing="1" w:after="100" w:afterAutospacing="1" w:line="240" w:lineRule="auto"/>
    </w:pPr>
    <w:rPr>
      <w:rFonts w:ascii="Times New Roman" w:eastAsia="Times New Roman" w:hAnsi="Times New Roman" w:cs="Times New Roman"/>
      <w:sz w:val="24"/>
      <w:szCs w:val="24"/>
      <w:lang w:eastAsia="de-A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4492194">
      <w:bodyDiv w:val="1"/>
      <w:marLeft w:val="0"/>
      <w:marRight w:val="0"/>
      <w:marTop w:val="0"/>
      <w:marBottom w:val="0"/>
      <w:divBdr>
        <w:top w:val="none" w:sz="0" w:space="0" w:color="auto"/>
        <w:left w:val="none" w:sz="0" w:space="0" w:color="auto"/>
        <w:bottom w:val="none" w:sz="0" w:space="0" w:color="auto"/>
        <w:right w:val="none" w:sz="0" w:space="0" w:color="auto"/>
      </w:divBdr>
    </w:div>
    <w:div w:id="586574801">
      <w:bodyDiv w:val="1"/>
      <w:marLeft w:val="0"/>
      <w:marRight w:val="0"/>
      <w:marTop w:val="0"/>
      <w:marBottom w:val="0"/>
      <w:divBdr>
        <w:top w:val="none" w:sz="0" w:space="0" w:color="auto"/>
        <w:left w:val="none" w:sz="0" w:space="0" w:color="auto"/>
        <w:bottom w:val="none" w:sz="0" w:space="0" w:color="auto"/>
        <w:right w:val="none" w:sz="0" w:space="0" w:color="auto"/>
      </w:divBdr>
    </w:div>
    <w:div w:id="7940554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settings" Target="settings.xml"/><Relationship Id="rId13" Type="http://schemas.openxmlformats.org/officeDocument/2006/relationships/image" Target="media/image2.png"/><Relationship Id="rId18" Type="http://schemas.openxmlformats.org/officeDocument/2006/relationships/hyperlink" Target="mailto:cancellation@fronius.com" TargetMode="External"/><Relationship Id="rId3" Type="http://schemas.openxmlformats.org/officeDocument/2006/relationships/customXml" Target="../customXml/item3.xml"/><Relationship Id="rId21" Type="http://schemas.openxmlformats.org/officeDocument/2006/relationships/fontTable" Target="fontTable.xml"/><Relationship Id="rId7" Type="http://schemas.openxmlformats.org/officeDocument/2006/relationships/styles" Target="styles.xml"/><Relationship Id="rId12" Type="http://schemas.openxmlformats.org/officeDocument/2006/relationships/image" Target="media/image1.png"/><Relationship Id="rId17" Type="http://schemas.openxmlformats.org/officeDocument/2006/relationships/hyperlink" Target="mailto:rke@a1kommunikation.de" TargetMode="External"/><Relationship Id="rId2" Type="http://schemas.openxmlformats.org/officeDocument/2006/relationships/customXml" Target="../customXml/item2.xml"/><Relationship Id="rId16" Type="http://schemas.openxmlformats.org/officeDocument/2006/relationships/hyperlink" Target="mailto:schwarz.fabian@fronius.com" TargetMode="External"/><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numbering" Target="numbering.xml"/><Relationship Id="rId11" Type="http://schemas.openxmlformats.org/officeDocument/2006/relationships/endnotes" Target="endnotes.xml"/><Relationship Id="rId5" Type="http://schemas.openxmlformats.org/officeDocument/2006/relationships/customXml" Target="../customXml/item5.xml"/><Relationship Id="rId15" Type="http://schemas.openxmlformats.org/officeDocument/2006/relationships/hyperlink" Target="mailto:gonzalez.laura@fronius.com" TargetMode="External"/><Relationship Id="rId10" Type="http://schemas.openxmlformats.org/officeDocument/2006/relationships/footnotes" Target="footnotes.xml"/><Relationship Id="rId19" Type="http://schemas.openxmlformats.org/officeDocument/2006/relationships/header" Target="header1.xml"/><Relationship Id="rId4" Type="http://schemas.openxmlformats.org/officeDocument/2006/relationships/customXml" Target="../customXml/item4.xml"/><Relationship Id="rId9" Type="http://schemas.openxmlformats.org/officeDocument/2006/relationships/webSettings" Target="webSettings.xml"/><Relationship Id="rId14" Type="http://schemas.openxmlformats.org/officeDocument/2006/relationships/image" Target="media/image3.png"/><Relationship Id="rId22" Type="http://schemas.openxmlformats.org/officeDocument/2006/relationships/theme" Target="theme/theme1.xml"/></Relationships>
</file>

<file path=word/_rels/header1.xml.rels><?xml version="1.0" encoding="UTF-8" standalone="yes"?>
<Relationships xmlns="http://schemas.openxmlformats.org/package/2006/relationships"><Relationship Id="rId1" Type="http://schemas.openxmlformats.org/officeDocument/2006/relationships/image" Target="media/image4.png"/></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DE_Standardvorlag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item1.xml><?xml version="1.0" encoding="utf-8"?>
<?mso-contentType ?>
<SharedContentType xmlns="Microsoft.SharePoint.Taxonomy.ContentTypeSync" SourceId="3e123716-e57e-43df-bff4-d192656f6566" ContentTypeId="0x01" PreviousValue="false"/>
</file>

<file path=customXml/item2.xml><?xml version="1.0" encoding="utf-8"?>
<p:properties xmlns:p="http://schemas.microsoft.com/office/2006/metadata/properties" xmlns:xsi="http://www.w3.org/2001/XMLSchema-instance" xmlns:pc="http://schemas.microsoft.com/office/infopath/2007/PartnerControls">
  <documentManagement>
    <title_TI_PT xmlns="dc0c2c3d-e9fc-4a0d-820b-87ab82e65f20">SE_PR_Fronius_GEN24_ES</title_TI_PT>
    <DocArticleNumber xmlns="dc0c2c3d-e9fc-4a0d-820b-87ab82e65f20" xsi:nil="true"/>
    <Documenttype_RU xmlns="dc0c2c3d-e9fc-4a0d-820b-87ab82e65f20">Пресс-релиз</Documenttype_RU>
    <Documenttype_UA xmlns="dc0c2c3d-e9fc-4a0d-820b-87ab82e65f20">Прес-релізи</Documenttype_UA>
    <download-count xmlns="dc0c2c3d-e9fc-4a0d-820b-87ab82e65f20" xsi:nil="true"/>
    <title_TI_DA xmlns="dc0c2c3d-e9fc-4a0d-820b-87ab82e65f20">SE_PR_Fronius_GEN24_ES</title_TI_DA>
    <Web_x0020_Display_x0020_Title_x0020_ET xmlns="dc0c2c3d-e9fc-4a0d-820b-87ab82e65f20">SE_PR_Fronius_GEN24_ES</Web_x0020_Display_x0020_Title_x0020_ET>
    <title_ti_fi xmlns="dc0c2c3d-e9fc-4a0d-820b-87ab82e65f20">SE_PR_Fronius_GEN24_ES</title_ti_fi>
    <Documenttype_JP xmlns="dc0c2c3d-e9fc-4a0d-820b-87ab82e65f20">Press Release</Documenttype_JP>
    <title_TI_TR xmlns="dc0c2c3d-e9fc-4a0d-820b-87ab82e65f20">SE_PR_Fronius_GEN24_ES</title_TI_TR>
    <countryok xmlns="dc0c2c3d-e9fc-4a0d-820b-87ab82e65f20">false</countryok>
    <Documenttype_ES xmlns="dc0c2c3d-e9fc-4a0d-820b-87ab82e65f20">Información de prensa</Documenttype_ES>
    <title_ti_nb xmlns="dc0c2c3d-e9fc-4a0d-820b-87ab82e65f20" xsi:nil="true"/>
    <title_TI_ES xmlns="dc0c2c3d-e9fc-4a0d-820b-87ab82e65f20">SE_PR_Fronius_GEN24_ES</title_TI_ES>
    <Documenttype_TR xmlns="dc0c2c3d-e9fc-4a0d-820b-87ab82e65f20">Basın bülteni</Documenttype_TR>
    <VersionInternal xmlns="dc0c2c3d-e9fc-4a0d-820b-87ab82e65f20" xsi:nil="true"/>
    <TaxCatchAll xmlns="92f60987-cbcc-4245-baaf-239af3bfd6e8">
      <Value>259</Value>
      <Value>1</Value>
    </TaxCatchAll>
    <Resolution xmlns="dc0c2c3d-e9fc-4a0d-820b-87ab82e65f20" xsi:nil="true"/>
    <Country xmlns="dc0c2c3d-e9fc-4a0d-820b-87ab82e65f20">
      <Value>38</Value>
    </Country>
    <title_TI_DE xmlns="dc0c2c3d-e9fc-4a0d-820b-87ab82e65f20">SE_PR_Fronius_GEN24_ES</title_TI_DE>
    <title_TI_HU xmlns="dc0c2c3d-e9fc-4a0d-820b-87ab82e65f20">SE_PR_Fronius_GEN24_ES</title_TI_HU>
    <AGB xmlns="dc0c2c3d-e9fc-4a0d-820b-87ab82e65f20">false</AGB>
    <MRMKeyWords xmlns="dc0c2c3d-e9fc-4a0d-820b-87ab82e65f20">#Presse#Presseaussendung#GEN24#GEN24 Plus#GEN24 Backup#press#press release#presse#presseaussendung#pressrelease#gen24#gen24plus#gen24backup#</MRMKeyWords>
    <Documenttype_TH xmlns="dc0c2c3d-e9fc-4a0d-820b-87ab82e65f20">ข่าวประชาสัมพันธ์</Documenttype_TH>
    <Documenttype_NL xmlns="dc0c2c3d-e9fc-4a0d-820b-87ab82e65f20">Persbericht</Documenttype_NL>
    <kf02bcb85e834895bd30a86f7c59478d xmlns="c4543867-fb67-4424-a255-4d54d75e50e3">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dd4c9c45-94c3-4cf4-ab9c-523f2b58f76e</TermId>
        </TermInfo>
      </Terms>
    </kf02bcb85e834895bd30a86f7c59478d>
    <fro_spid xmlns="dc0c2c3d-e9fc-4a0d-820b-87ab82e65f20">9681;SE</fro_spid>
    <Colour_x0020_space xmlns="dc0c2c3d-e9fc-4a0d-820b-87ab82e65f20" xsi:nil="true"/>
    <title_TI_EA xmlns="dc0c2c3d-e9fc-4a0d-820b-87ab82e65f20">SE_PR_Fronius_GEN24_ES</title_TI_EA>
    <Documenttype_NO xmlns="dc0c2c3d-e9fc-4a0d-820b-87ab82e65f20">Presseinformasjon</Documenttype_NO>
    <Documenttype_SK xmlns="dc0c2c3d-e9fc-4a0d-820b-87ab82e65f20">Tlačová informácia</Documenttype_SK>
    <title_TI_CN xmlns="dc0c2c3d-e9fc-4a0d-820b-87ab82e65f20" xsi:nil="true"/>
    <title_TI_SK xmlns="dc0c2c3d-e9fc-4a0d-820b-87ab82e65f20">SE_PR_Fronius_GEN24_ES</title_TI_SK>
    <Documenttype_AR xmlns="dc0c2c3d-e9fc-4a0d-820b-87ab82e65f20">Press Release</Documenttype_AR>
    <Update xmlns="dc0c2c3d-e9fc-4a0d-820b-87ab82e65f20" xsi:nil="true"/>
    <Documenttype_SV xmlns="dc0c2c3d-e9fc-4a0d-820b-87ab82e65f20">Pressmeddelande</Documenttype_SV>
    <title_TI_IT xmlns="dc0c2c3d-e9fc-4a0d-820b-87ab82e65f20">SE_PR_Fronius_GEN24_ES</title_TI_IT>
    <title_ti_zh xmlns="dc0c2c3d-e9fc-4a0d-820b-87ab82e65f20">SE_PR_Fronius_GEN24_ES</title_ti_zh>
    <Division xmlns="dc0c2c3d-e9fc-4a0d-820b-87ab82e65f20">Solar Energy</Division>
    <title_TI_UA xmlns="dc0c2c3d-e9fc-4a0d-820b-87ab82e65f20">SE_PR_Fronius_GEN24_ES</title_TI_UA>
    <Documenttype_EL xmlns="dc0c2c3d-e9fc-4a0d-820b-87ab82e65f20">Δελτίο τύπου</Documenttype_EL>
    <Documenttype_PT xmlns="dc0c2c3d-e9fc-4a0d-820b-87ab82e65f20">Comunicado à imprensa</Documenttype_PT>
    <Documenttype_ZH xmlns="dc0c2c3d-e9fc-4a0d-820b-87ab82e65f20">Press Release</Documenttype_ZH>
    <FSM xmlns="dc0c2c3d-e9fc-4a0d-820b-87ab82e65f20">No</FSM>
    <Permission xmlns="dc0c2c3d-e9fc-4a0d-820b-87ab82e65f20">Public</Permission>
    <title_TI_FR xmlns="dc0c2c3d-e9fc-4a0d-820b-87ab82e65f20">SE_PR_Fronius_GEN24_ES</title_TI_FR>
    <MRMID xmlns="dc0c2c3d-e9fc-4a0d-820b-87ab82e65f20">M-214794</MRMID>
    <title_TI_CS xmlns="dc0c2c3d-e9fc-4a0d-820b-87ab82e65f20">SE_PR_Fronius_GEN24_ES</title_TI_CS>
    <Documenttype_FR xmlns="dc0c2c3d-e9fc-4a0d-820b-87ab82e65f20">Communiqué de presse</Documenttype_FR>
    <FileMaster xmlns="dc0c2c3d-e9fc-4a0d-820b-87ab82e65f20">C-153063</FileMaster>
    <icfaae38c4274413b390559439863f3e xmlns="dc0c2c3d-e9fc-4a0d-820b-87ab82e65f20">
      <Terms xmlns="http://schemas.microsoft.com/office/infopath/2007/PartnerControls"/>
    </icfaae38c4274413b390559439863f3e>
    <Documenttype_EN xmlns="dc0c2c3d-e9fc-4a0d-820b-87ab82e65f20">Press Release</Documenttype_EN>
    <title_TI_NL xmlns="dc0c2c3d-e9fc-4a0d-820b-87ab82e65f20">SE_PR_Fronius_GEN24_ES</title_TI_NL>
    <title_TI_PL xmlns="dc0c2c3d-e9fc-4a0d-820b-87ab82e65f20">SE_PR_Fronius_GEN24_ES</title_TI_PL>
    <title_TI_TH xmlns="dc0c2c3d-e9fc-4a0d-820b-87ab82e65f20">SE_PR_Fronius_GEN24_ES</title_TI_TH>
    <Documenttype_DA xmlns="dc0c2c3d-e9fc-4a0d-820b-87ab82e65f20">Presseinformationer</Documenttype_DA>
    <Documenttype_HU xmlns="dc0c2c3d-e9fc-4a0d-820b-87ab82e65f20">Sajtóinformáció</Documenttype_HU>
    <title_TI_JP xmlns="dc0c2c3d-e9fc-4a0d-820b-87ab82e65f20">SE_PR_Fronius_GEN24_ES</title_TI_JP>
    <Documenttype_FI xmlns="dc0c2c3d-e9fc-4a0d-820b-87ab82e65f20">Lehdistötiedote</Documenttype_FI>
    <title_TI_RU xmlns="dc0c2c3d-e9fc-4a0d-820b-87ab82e65f20">SE_PR_Fronius_GEN24_ES</title_TI_RU>
    <Documenttype_PL xmlns="dc0c2c3d-e9fc-4a0d-820b-87ab82e65f20">Informacja prasowe</Documenttype_PL>
    <Licence_x0020_information xmlns="dc0c2c3d-e9fc-4a0d-820b-87ab82e65f20">(c) Fronius International</Licence_x0020_information>
    <Documenttype_UK xmlns="c4543867-fb67-4424-a255-4d54d75e50e3">Прес-релізи</Documenttype_UK>
    <title_TI_NO xmlns="dc0c2c3d-e9fc-4a0d-820b-87ab82e65f20">SE_PR_Fronius_GEN24_ES</title_TI_NO>
    <Documenttype_NB xmlns="c4543867-fb67-4424-a255-4d54d75e50e3">Presseinformasjon</Documenttype_NB>
    <l67a679918f5484e8f458468bb061236 xmlns="dc0c2c3d-e9fc-4a0d-820b-87ab82e65f20">
      <Terms xmlns="http://schemas.microsoft.com/office/infopath/2007/PartnerControls"/>
    </l67a679918f5484e8f458468bb061236>
    <title_TI_EL xmlns="dc0c2c3d-e9fc-4a0d-820b-87ab82e65f20">SE_PR_Fronius_GEN24_ES</title_TI_EL>
    <Documenttype_JA xmlns="dc0c2c3d-e9fc-4a0d-820b-87ab82e65f20">ニュースリリース</Documenttype_JA>
    <Documenttype_DE xmlns="dc0c2c3d-e9fc-4a0d-820b-87ab82e65f20">Presseinformation</Documenttype_DE>
    <Documenttype_EA xmlns="dc0c2c3d-e9fc-4a0d-820b-87ab82e65f20">Press Release</Documenttype_EA>
    <ArticleNumber xmlns="dc0c2c3d-e9fc-4a0d-820b-87ab82e65f20" xsi:nil="true"/>
    <title_TI_JA xmlns="dc0c2c3d-e9fc-4a0d-820b-87ab82e65f20">SE_PR_Fronius_GEN24_ES</title_TI_JA>
    <Documenttype_IT xmlns="dc0c2c3d-e9fc-4a0d-820b-87ab82e65f20">Comunicato stampa</Documenttype_IT>
    <Country_x0020_Quick_x0020_Select xmlns="dc0c2c3d-e9fc-4a0d-820b-87ab82e65f20">Select...</Country_x0020_Quick_x0020_Select>
    <title_TI_EN xmlns="dc0c2c3d-e9fc-4a0d-820b-87ab82e65f20">SE_PR_Fronius_GEN24_ES</title_TI_EN>
    <title_TI_AR xmlns="dc0c2c3d-e9fc-4a0d-820b-87ab82e65f20">SE_PR_Fronius_GEN24_ES</title_TI_AR>
    <title_TI_SV xmlns="dc0c2c3d-e9fc-4a0d-820b-87ab82e65f20">SE_PR_Fronius_GEN24_ES</title_TI_SV>
    <Documenttype_CS xmlns="dc0c2c3d-e9fc-4a0d-820b-87ab82e65f20">Tisková zpráva</Documenttype_CS>
    <FroCountryExclusive xmlns="dc0c2c3d-e9fc-4a0d-820b-87ab82e65f20">No</FroCountryExclusive>
    <title_ti_uk xmlns="dc0c2c3d-e9fc-4a0d-820b-87ab82e65f20" xsi:nil="true"/>
    <TitelInternal xmlns="dc0c2c3d-e9fc-4a0d-820b-87ab82e65f20" xsi:nil="true"/>
    <contentservId xmlns="c4543867-fb67-4424-a255-4d54d75e50e3">C-153065</contentservId>
    <title_TI_RO xmlns="dc0c2c3d-e9fc-4a0d-820b-87ab82e65f20">SE_PR_Fronius_GEN24_ES</title_TI_RO>
  </documentManagement>
</p:properties>
</file>

<file path=customXml/item3.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78818E860836564580539BE5C2186B8E" ma:contentTypeVersion="190" ma:contentTypeDescription="" ma:contentTypeScope="" ma:versionID="479f712932df972e93522039abb252be">
  <xsd:schema xmlns:xsd="http://www.w3.org/2001/XMLSchema" xmlns:xs="http://www.w3.org/2001/XMLSchema" xmlns:p="http://schemas.microsoft.com/office/2006/metadata/properties" xmlns:ns2="dc0c2c3d-e9fc-4a0d-820b-87ab82e65f20" xmlns:ns3="92f60987-cbcc-4245-baaf-239af3bfd6e8" xmlns:ns4="c4543867-fb67-4424-a255-4d54d75e50e3" targetNamespace="http://schemas.microsoft.com/office/2006/metadata/properties" ma:root="true" ma:fieldsID="08c2772ebf7aba6e2699bea2c609475a" ns2:_="" ns3:_="" ns4:_="">
    <xsd:import namespace="dc0c2c3d-e9fc-4a0d-820b-87ab82e65f20"/>
    <xsd:import namespace="92f60987-cbcc-4245-baaf-239af3bfd6e8"/>
    <xsd:import namespace="c4543867-fb67-4424-a255-4d54d75e50e3"/>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3:TaxCatchAll" minOccurs="0"/>
                <xsd:element ref="ns3:TaxCatchAllLabel"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Documenttype_DE"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title_ti_nb" minOccurs="0"/>
                <xsd:element ref="ns4:kf02bcb85e834895bd30a86f7c59478d" minOccurs="0"/>
                <xsd:element ref="ns2:Documenttype_EA" minOccurs="0"/>
                <xsd:element ref="ns2:title_ti_uk" minOccurs="0"/>
                <xsd:element ref="ns4:Documenttype_NB" minOccurs="0"/>
                <xsd:element ref="ns4:Documenttype_UK" minOccurs="0"/>
                <xsd:element ref="ns2:TitelInternal" minOccurs="0"/>
                <xsd:element ref="ns3:_dlc_DocId" minOccurs="0"/>
                <xsd:element ref="ns2:ArticleNumber" minOccurs="0"/>
                <xsd:element ref="ns2:l67a679918f5484e8f458468bb061236" minOccurs="0"/>
                <xsd:element ref="ns3:_dlc_DocIdUrl" minOccurs="0"/>
                <xsd:element ref="ns3:_dlc_DocIdPersistId" minOccurs="0"/>
                <xsd:element ref="ns2:Documenttype_ZH" minOccurs="0"/>
                <xsd:element ref="ns2:Documenttype_JP" minOccurs="0"/>
                <xsd:element ref="ns2:Documenttype_AR" minOccurs="0"/>
                <xsd:element ref="ns2:title_TI_CN" minOccurs="0"/>
                <xsd:element ref="ns2:SharedWithUsers" minOccurs="0"/>
                <xsd:element ref="ns2:FileMaster" minOccurs="0"/>
                <xsd:element ref="ns2:fro_spid" minOccurs="0"/>
                <xsd:element ref="ns2:title_TI_JP" minOccurs="0"/>
                <xsd:element ref="ns2:icfaae38c4274413b390559439863f3e" minOccurs="0"/>
                <xsd:element ref="ns2:FSM" minOccurs="0"/>
                <xsd:element ref="ns2:Resolution" minOccurs="0"/>
                <xsd:element ref="ns2:Colour_x0020_space" minOccurs="0"/>
                <xsd:element ref="ns2:Licence_x0020_information" minOccurs="0"/>
                <xsd:element ref="ns2:Documenttype_EN" minOccurs="0"/>
                <xsd:element ref="ns2:Update" minOccurs="0"/>
                <xsd:element ref="ns2:Documenttype_SV" minOccurs="0"/>
                <xsd:element ref="ns2:Permission" minOccurs="0"/>
                <xsd:element ref="ns2:download-count" minOccurs="0"/>
                <xsd:element ref="ns2:title_TI_EA" minOccurs="0"/>
                <xsd:element ref="ns2:Documenttype_FI" minOccurs="0"/>
                <xsd:element ref="ns4:contentservId" minOccurs="0"/>
                <xsd:element ref="ns2:FroCountryExclusiv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ternalName="title_TI_DE" ma:readOnly="false">
      <xsd:simpleType>
        <xsd:restriction base="dms:Text">
          <xsd:maxLength value="255"/>
        </xsd:restriction>
      </xsd:simpleType>
    </xsd:element>
    <xsd:element name="title_TI_EN" ma:index="5" ma:displayName="Web Display Title ENGLISH (EN)" ma:internalName="title_TI_EN" ma:readOnly="false">
      <xsd:simpleType>
        <xsd:restriction base="dms:Text">
          <xsd:maxLength value="255"/>
        </xsd:restriction>
      </xsd:simpleType>
    </xsd:element>
    <xsd:element name="title_TI_AR" ma:index="6" nillable="true" ma:displayName="Web Display Title ARABIC (AR)" ma:internalName="title_TI_AR">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Documenttype_NO" ma:index="39" nillable="true" ma:displayName="Documenttype_NO" ma:hidden="true" ma:internalName="Documenttype_NO" ma:readOnly="false">
      <xsd:simpleType>
        <xsd:restriction base="dms:Text">
          <xsd:maxLength value="255"/>
        </xsd:restriction>
      </xsd:simpleType>
    </xsd:element>
    <xsd:element name="Documenttype_ES" ma:index="40" nillable="true" ma:displayName="Documenttype_ES" ma:hidden="true" ma:internalName="Documenttype_ES" ma:readOnly="false">
      <xsd:simpleType>
        <xsd:restriction base="dms:Text">
          <xsd:maxLength value="255"/>
        </xsd:restriction>
      </xsd:simpleType>
    </xsd:element>
    <xsd:element name="Documenttype_PL" ma:index="41" nillable="true" ma:displayName="Documenttype_PL" ma:hidden="true" ma:internalName="Documenttype_PL" ma:readOnly="false">
      <xsd:simpleType>
        <xsd:restriction base="dms:Text">
          <xsd:maxLength value="255"/>
        </xsd:restriction>
      </xsd:simpleType>
    </xsd:element>
    <xsd:element name="Documenttype_EL" ma:index="42" nillable="true" ma:displayName="Documenttype_EL" ma:hidden="true" ma:internalName="Documenttype_EL" ma:readOnly="false">
      <xsd:simpleType>
        <xsd:restriction base="dms:Text">
          <xsd:maxLength value="255"/>
        </xsd:restriction>
      </xsd:simpleType>
    </xsd:element>
    <xsd:element name="Documenttype_FR" ma:index="43" nillable="true" ma:displayName="Documenttype_FR" ma:hidden="true" ma:internalName="Documenttype_FR" ma:readOnly="false">
      <xsd:simpleType>
        <xsd:restriction base="dms:Text">
          <xsd:maxLength value="255"/>
        </xsd:restriction>
      </xsd:simpleType>
    </xsd:element>
    <xsd:element name="Documenttype_IT" ma:index="44" nillable="true" ma:displayName="Documenttype_IT" ma:hidden="true" ma:internalName="Documenttype_IT" ma:readOnly="false">
      <xsd:simpleType>
        <xsd:restriction base="dms:Text">
          <xsd:maxLength value="255"/>
        </xsd:restriction>
      </xsd:simpleType>
    </xsd:element>
    <xsd:element name="Documenttype_TH" ma:index="45" nillable="true" ma:displayName="Documenttype_TH" ma:hidden="true" ma:internalName="Documenttype_TH" ma:readOnly="false">
      <xsd:simpleType>
        <xsd:restriction base="dms:Text">
          <xsd:maxLength value="255"/>
        </xsd:restriction>
      </xsd:simpleType>
    </xsd:element>
    <xsd:element name="Documenttype_JA" ma:index="46" nillable="true" ma:displayName="Documenttype_JA" ma:hidden="true" ma:internalName="Documenttype_JA" ma:readOnly="false">
      <xsd:simpleType>
        <xsd:restriction base="dms:Text">
          <xsd:maxLength value="255"/>
        </xsd:restriction>
      </xsd:simpleType>
    </xsd:element>
    <xsd:element name="Division" ma:index="47" nillable="true" ma:displayName="Division" ma:default="Solar Energy"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48" nillable="true" ma:displayName="Documenttype_SK" ma:hidden="true" ma:internalName="Documenttype_SK" ma:readOnly="false">
      <xsd:simpleType>
        <xsd:restriction base="dms:Text">
          <xsd:maxLength value="255"/>
        </xsd:restriction>
      </xsd:simpleType>
    </xsd:element>
    <xsd:element name="Documenttype_DE" ma:index="49" nillable="true" ma:displayName="Documenttype_DE" ma:hidden="true" ma:internalName="Documenttype_DE" ma:readOnly="false">
      <xsd:simpleType>
        <xsd:restriction base="dms:Text">
          <xsd:maxLength value="255"/>
        </xsd:restriction>
      </xsd:simpleType>
    </xsd:element>
    <xsd:element name="Documenttype_RU" ma:index="50" nillable="true" ma:displayName="Documenttype_RU" ma:hidden="true" ma:internalName="Documenttype_RU" ma:readOnly="false">
      <xsd:simpleType>
        <xsd:restriction base="dms:Text">
          <xsd:maxLength value="255"/>
        </xsd:restriction>
      </xsd:simpleType>
    </xsd:element>
    <xsd:element name="Documenttype_DA" ma:index="51" nillable="true" ma:displayName="Documenttype_DA" ma:hidden="true" ma:internalName="Documenttype_DA" ma:readOnly="false">
      <xsd:simpleType>
        <xsd:restriction base="dms:Text">
          <xsd:maxLength value="255"/>
        </xsd:restriction>
      </xsd:simpleType>
    </xsd:element>
    <xsd:element name="Documenttype_UA" ma:index="52" nillable="true" ma:displayName="Documenttype_UA" ma:hidden="true" ma:internalName="Documenttype_UA" ma:readOnly="false">
      <xsd:simpleType>
        <xsd:restriction base="dms:Text">
          <xsd:maxLength value="255"/>
        </xsd:restriction>
      </xsd:simpleType>
    </xsd:element>
    <xsd:element name="Documenttype_HU" ma:index="53" nillable="true" ma:displayName="Documenttype_HU" ma:hidden="true" ma:internalName="Documenttype_HU" ma:readOnly="false">
      <xsd:simpleType>
        <xsd:restriction base="dms:Text">
          <xsd:maxLength value="255"/>
        </xsd:restriction>
      </xsd:simpleType>
    </xsd:element>
    <xsd:element name="Documenttype_CS" ma:index="54" nillable="true" ma:displayName="Documenttype_CS" ma:hidden="true" ma:internalName="Documenttype_CS" ma:readOnly="false">
      <xsd:simpleType>
        <xsd:restriction base="dms:Text">
          <xsd:maxLength value="255"/>
        </xsd:restriction>
      </xsd:simpleType>
    </xsd:element>
    <xsd:element name="Documenttype_PT" ma:index="55" nillable="true" ma:displayName="Documenttype_PT" ma:hidden="true" ma:internalName="Documenttype_PT" ma:readOnly="false">
      <xsd:simpleType>
        <xsd:restriction base="dms:Text">
          <xsd:maxLength value="255"/>
        </xsd:restriction>
      </xsd:simpleType>
    </xsd:element>
    <xsd:element name="Documenttype_NL" ma:index="56" nillable="true" ma:displayName="Documenttype_NL" ma:hidden="true" ma:internalName="Documenttype_NL" ma:readOnly="false">
      <xsd:simpleType>
        <xsd:restriction base="dms:Text">
          <xsd:maxLength value="255"/>
        </xsd:restriction>
      </xsd:simpleType>
    </xsd:element>
    <xsd:element name="Documenttype_TR" ma:index="57" nillable="true" ma:displayName="Documenttype_TR" ma:hidden="true" ma:internalName="Documenttype_TR" ma:readOnly="false">
      <xsd:simpleType>
        <xsd:restriction base="dms:Text">
          <xsd:maxLength value="255"/>
        </xsd:restriction>
      </xsd:simpleType>
    </xsd:element>
    <xsd:element name="title_ti_nb" ma:index="59" nillable="true" ma:displayName="Web Display Title NB" ma:hidden="true" ma:internalName="title_ti_nb" ma:readOnly="false">
      <xsd:simpleType>
        <xsd:restriction base="dms:Text">
          <xsd:maxLength value="255"/>
        </xsd:restriction>
      </xsd:simpleType>
    </xsd:element>
    <xsd:element name="Documenttype_EA" ma:index="62" nillable="true" ma:displayName="Documenttype_EA" ma:hidden="true" ma:internalName="Documenttype_EA" ma:readOnly="false">
      <xsd:simpleType>
        <xsd:restriction base="dms:Text">
          <xsd:maxLength value="255"/>
        </xsd:restriction>
      </xsd:simpleType>
    </xsd:element>
    <xsd:element name="title_ti_uk" ma:index="64" nillable="true" ma:displayName="Web Display Title UK" ma:hidden="true" ma:internalName="title_ti_uk"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ArticleNumber" ma:index="69" nillable="true" ma:displayName="ItemNumber" ma:hidden="true" ma:internalName="ArticleNumber" ma:readOnly="false">
      <xsd:simpleType>
        <xsd:restriction base="dms:Note"/>
      </xsd:simpleType>
    </xsd:element>
    <xsd:element name="l67a679918f5484e8f458468bb061236" ma:index="70" nillable="true" ma:taxonomy="true" ma:internalName="l67a679918f5484e8f458468bb061236" ma:taxonomyFieldName="Products" ma:displayName="Products" ma:readOnly="false" ma:default="" ma:fieldId="{567a6799-18f5-484e-8f45-8468bb061236}" ma:taxonomyMulti="true" ma:sspId="3e123716-e57e-43df-bff4-d192656f6566" ma:termSetId="37087530-3bee-41ef-bf05-bf64da773755" ma:anchorId="a4e95a5f-8be7-4274-8101-e525f00d2dd9" ma:open="false" ma:isKeyword="false">
      <xsd:complexType>
        <xsd:sequence>
          <xsd:element ref="pc:Terms" minOccurs="0" maxOccurs="1"/>
        </xsd:sequence>
      </xsd:complexType>
    </xsd:element>
    <xsd:element name="Documenttype_ZH" ma:index="74" nillable="true" ma:displayName="Documenttype_ZH" ma:hidden="true" ma:internalName="Documenttype_ZH" ma:readOnly="false">
      <xsd:simpleType>
        <xsd:restriction base="dms:Text">
          <xsd:maxLength value="255"/>
        </xsd:restriction>
      </xsd:simpleType>
    </xsd:element>
    <xsd:element name="Documenttype_JP" ma:index="75" nillable="true" ma:displayName="Documenttype_JP" ma:hidden="true" ma:internalName="Documenttype_JP" ma:readOnly="false">
      <xsd:simpleType>
        <xsd:restriction base="dms:Text">
          <xsd:maxLength value="255"/>
        </xsd:restriction>
      </xsd:simpleType>
    </xsd:element>
    <xsd:element name="Documenttype_AR" ma:index="76" nillable="true" ma:displayName="Documenttype_AR" ma:hidden="true" ma:internalName="Documenttype_AR" ma:readOnly="false">
      <xsd:simpleType>
        <xsd:restriction base="dms:Text">
          <xsd:maxLength value="255"/>
        </xsd:restriction>
      </xsd:simpleType>
    </xsd:element>
    <xsd:element name="title_TI_CN" ma:index="77" nillable="true" ma:displayName="Web Display Title CN" ma:hidden="true" ma:internalName="title_TI_CN" ma:readOnly="false">
      <xsd:simpleType>
        <xsd:restriction base="dms:Text">
          <xsd:maxLength value="255"/>
        </xsd:restriction>
      </xsd:simpleType>
    </xsd:element>
    <xsd:element name="SharedWithUsers" ma:index="7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title_TI_JP" ma:index="81" nillable="true" ma:displayName="Web Display Title JP" ma:hidden="true" ma:internalName="title_TI_JP" ma:readOnly="false">
      <xsd:simpleType>
        <xsd:restriction base="dms:Text">
          <xsd:maxLength value="255"/>
        </xsd:restriction>
      </xsd:simpleType>
    </xsd:element>
    <xsd:element name="icfaae38c4274413b390559439863f3e" ma:index="82"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4" nillable="true" ma:displayName="FSM" ma:default="No" ma:format="Dropdown" ma:hidden="true" ma:internalName="FSM" ma:readOnly="false">
      <xsd:simpleType>
        <xsd:restriction base="dms:Choice">
          <xsd:enumeration value="Yes"/>
          <xsd:enumeration value="No"/>
        </xsd:restriction>
      </xsd:simpleType>
    </xsd:element>
    <xsd:element name="Resolution" ma:index="85" nillable="true" ma:displayName="Resolution" ma:hidden="true" ma:internalName="Resolution" ma:readOnly="false">
      <xsd:simpleType>
        <xsd:restriction base="dms:Text">
          <xsd:maxLength value="255"/>
        </xsd:restriction>
      </xsd:simpleType>
    </xsd:element>
    <xsd:element name="Colour_x0020_space" ma:index="86" nillable="true" ma:displayName="Colour space" ma:hidden="true" ma:internalName="Colour_x0020_space" ma:readOnly="false">
      <xsd:simpleType>
        <xsd:restriction base="dms:Text">
          <xsd:maxLength value="255"/>
        </xsd:restriction>
      </xsd:simpleType>
    </xsd:element>
    <xsd:element name="Licence_x0020_information" ma:index="87"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Documenttype_EN" ma:index="88" nillable="true" ma:displayName="Documenttype_EN" ma:indexed="true" ma:internalName="Documenttype_EN">
      <xsd:simpleType>
        <xsd:restriction base="dms:Text">
          <xsd:maxLength value="255"/>
        </xsd:restriction>
      </xsd:simpleType>
    </xsd:element>
    <xsd:element name="Update" ma:index="89" nillable="true" ma:displayName="Update" ma:hidden="true" ma:internalName="Update" ma:readOnly="false">
      <xsd:simpleType>
        <xsd:restriction base="dms:Text">
          <xsd:maxLength value="255"/>
        </xsd:restriction>
      </xsd:simpleType>
    </xsd:element>
    <xsd:element name="Documenttype_SV" ma:index="90" nillable="true" ma:displayName="Documenttype_SV" ma:hidden="true" ma:internalName="Documenttype_SV" ma:readOnly="false">
      <xsd:simpleType>
        <xsd:restriction base="dms:Text">
          <xsd:maxLength value="255"/>
        </xsd:restriction>
      </xsd:simpleType>
    </xsd:element>
    <xsd:element name="Permission" ma:index="91" nillable="true" ma:displayName="Permission" ma:default="non public" ma:format="Dropdown" ma:hidden="true" ma:internalName="Permission" ma:readOnly="false">
      <xsd:simpleType>
        <xsd:restriction base="dms:Choice">
          <xsd:enumeration value="Public"/>
          <xsd:enumeration value="myFronius"/>
          <xsd:enumeration value="non public"/>
        </xsd:restriction>
      </xsd:simpleType>
    </xsd:element>
    <xsd:element name="download-count" ma:index="92" nillable="true" ma:displayName="download-count" ma:decimals="0" ma:hidden="true" ma:internalName="download_x002d_count" ma:readOnly="false">
      <xsd:simpleType>
        <xsd:restriction base="dms:Number"/>
      </xsd:simpleType>
    </xsd:element>
    <xsd:element name="title_TI_EA" ma:index="93" nillable="true" ma:displayName="Web Display Title EA" ma:hidden="true" ma:internalName="title_TI_EA" ma:readOnly="false">
      <xsd:simpleType>
        <xsd:restriction base="dms:Text">
          <xsd:maxLength value="255"/>
        </xsd:restriction>
      </xsd:simpleType>
    </xsd:element>
    <xsd:element name="Documenttype_FI" ma:index="95" nillable="true" ma:displayName="Documenttype_FI" ma:hidden="true" ma:internalName="Documenttype_FI" ma:readOnly="false">
      <xsd:simpleType>
        <xsd:restriction base="dms:Text">
          <xsd:maxLength value="255"/>
        </xsd:restriction>
      </xsd:simpleType>
    </xsd:element>
    <xsd:element name="FroCountryExclusive" ma:index="98"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TaxCatchAll" ma:index="37" nillable="true" ma:displayName="Taxonomy Catch All Colum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38" nillable="true" ma:displayName="Taxonomy Catch All Column1"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_dlc_DocId" ma:index="68" nillable="true" ma:displayName="Document ID Value" ma:description="The value of the document ID assigned to this item." ma:internalName="_dlc_DocId" ma:readOnly="true">
      <xsd:simpleType>
        <xsd:restriction base="dms:Text"/>
      </xsd:simpleType>
    </xsd:element>
    <xsd:element name="_dlc_DocIdUrl" ma:index="71"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72" nillable="true" ma:displayName="Persist ID" ma:description="Keep ID on add." ma:hidden="true" ma:internalName="_dlc_DocIdPersistId" ma:readOnly="true">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4543867-fb67-4424-a255-4d54d75e50e3" elementFormDefault="qualified">
    <xsd:import namespace="http://schemas.microsoft.com/office/2006/documentManagement/types"/>
    <xsd:import namespace="http://schemas.microsoft.com/office/infopath/2007/PartnerControls"/>
    <xsd:element name="kf02bcb85e834895bd30a86f7c59478d" ma:index="60" nillable="true" ma:taxonomy="true" ma:internalName="kf02bcb85e834895bd30a86f7c59478d" ma:taxonomyFieldName="Language" ma:displayName="Language" ma:default="" ma:fieldId="{4f02bcb8-5e83-4895-bd30-a86f7c59478d}"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ocumenttype_NB" ma:index="65" nillable="true" ma:displayName="Documenttype_NB" ma:hidden="true" ma:internalName="Documenttype_NB" ma:readOnly="false">
      <xsd:simpleType>
        <xsd:restriction base="dms:Text">
          <xsd:maxLength value="255"/>
        </xsd:restriction>
      </xsd:simpleType>
    </xsd:element>
    <xsd:element name="Documenttype_UK" ma:index="66" nillable="true" ma:displayName="Documenttype_UK" ma:hidden="true" ma:internalName="Documenttype_UK" ma:readOnly="false">
      <xsd:simpleType>
        <xsd:restriction base="dms:Text">
          <xsd:maxLength value="255"/>
        </xsd:restriction>
      </xsd:simpleType>
    </xsd:element>
    <xsd:element name="contentservId" ma:index="97" nillable="true" ma:displayName="contentservId" ma:hidden="true" ma:internalName="contentservId" ma:readOnly="fals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73"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5.xml><?xml version="1.0" encoding="utf-8"?>
<?mso-contentType ?>
<spe:Receivers xmlns:spe="http://schemas.microsoft.com/sharepoint/events"/>
</file>

<file path=customXml/itemProps1.xml><?xml version="1.0" encoding="utf-8"?>
<ds:datastoreItem xmlns:ds="http://schemas.openxmlformats.org/officeDocument/2006/customXml" ds:itemID="{683EE9E6-0AD1-4C64-8D72-1BE424E2BC5C}">
  <ds:schemaRefs>
    <ds:schemaRef ds:uri="Microsoft.SharePoint.Taxonomy.ContentTypeSync"/>
  </ds:schemaRefs>
</ds:datastoreItem>
</file>

<file path=customXml/itemProps2.xml><?xml version="1.0" encoding="utf-8"?>
<ds:datastoreItem xmlns:ds="http://schemas.openxmlformats.org/officeDocument/2006/customXml" ds:itemID="{C868A6A8-550C-403D-B045-39E2243C6677}">
  <ds:schemaRefs>
    <ds:schemaRef ds:uri="http://schemas.microsoft.com/office/2006/metadata/properties"/>
    <ds:schemaRef ds:uri="http://schemas.microsoft.com/office/infopath/2007/PartnerControls"/>
    <ds:schemaRef ds:uri="dc0c2c3d-e9fc-4a0d-820b-87ab82e65f20"/>
    <ds:schemaRef ds:uri="92f60987-cbcc-4245-baaf-239af3bfd6e8"/>
    <ds:schemaRef ds:uri="c4543867-fb67-4424-a255-4d54d75e50e3"/>
  </ds:schemaRefs>
</ds:datastoreItem>
</file>

<file path=customXml/itemProps3.xml><?xml version="1.0" encoding="utf-8"?>
<ds:datastoreItem xmlns:ds="http://schemas.openxmlformats.org/officeDocument/2006/customXml" ds:itemID="{63E2C2B9-02EE-40E3-8432-65805009A3F6}"/>
</file>

<file path=customXml/itemProps4.xml><?xml version="1.0" encoding="utf-8"?>
<ds:datastoreItem xmlns:ds="http://schemas.openxmlformats.org/officeDocument/2006/customXml" ds:itemID="{E4810893-6164-4B87-9BA4-CC696645BBE3}">
  <ds:schemaRefs>
    <ds:schemaRef ds:uri="http://schemas.microsoft.com/sharepoint/v3/contenttype/forms"/>
  </ds:schemaRefs>
</ds:datastoreItem>
</file>

<file path=customXml/itemProps5.xml><?xml version="1.0" encoding="utf-8"?>
<ds:datastoreItem xmlns:ds="http://schemas.openxmlformats.org/officeDocument/2006/customXml" ds:itemID="{30702B3B-1AEE-4573-90BD-BFB884933090}">
  <ds:schemaRefs>
    <ds:schemaRef ds:uri="http://schemas.microsoft.com/sharepoint/events"/>
  </ds:schemaRefs>
</ds:datastoreItem>
</file>

<file path=docProps/app.xml><?xml version="1.0" encoding="utf-8"?>
<Properties xmlns="http://schemas.openxmlformats.org/officeDocument/2006/extended-properties" xmlns:vt="http://schemas.openxmlformats.org/officeDocument/2006/docPropsVTypes">
  <Template>DE_Standardvorlage.dotx</Template>
  <TotalTime>66</TotalTime>
  <Pages>4</Pages>
  <Words>1141</Words>
  <Characters>6278</Characters>
  <Application>Microsoft Office Word</Application>
  <DocSecurity>0</DocSecurity>
  <Lines>52</Lines>
  <Paragraphs>14</Paragraphs>
  <ScaleCrop>false</ScaleCrop>
  <HeadingPairs>
    <vt:vector size="4" baseType="variant">
      <vt:variant>
        <vt:lpstr>Título</vt:lpstr>
      </vt:variant>
      <vt:variant>
        <vt:i4>1</vt:i4>
      </vt:variant>
      <vt:variant>
        <vt:lpstr>Titel</vt:lpstr>
      </vt:variant>
      <vt:variant>
        <vt:i4>1</vt:i4>
      </vt:variant>
    </vt:vector>
  </HeadingPairs>
  <TitlesOfParts>
    <vt:vector size="2" baseType="lpstr">
      <vt:lpstr>SE_PR_Fronius_GEN24_ES</vt:lpstr>
      <vt:lpstr/>
    </vt:vector>
  </TitlesOfParts>
  <Company/>
  <LinksUpToDate>false</LinksUpToDate>
  <CharactersWithSpaces>7405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SE_PR_Fronius_GEN24_ES</dc:title>
  <dc:subject/>
  <dc:creator>Kneringer Daniel</dc:creator>
  <cp:keywords/>
  <dc:description/>
  <cp:lastModifiedBy>Gallego Cristina</cp:lastModifiedBy>
  <cp:revision>22</cp:revision>
  <cp:lastPrinted>2023-04-03T08:49:00Z</cp:lastPrinted>
  <dcterms:created xsi:type="dcterms:W3CDTF">2023-10-24T17:00:00Z</dcterms:created>
  <dcterms:modified xsi:type="dcterms:W3CDTF">2024-02-27T09:38:00Z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0x010100D81D3A5E066A7C4C894BF34B3C71E9830078818E860836564580539BE5C2186B8E</vt:lpwstr>
  </property>
  <property fmtid="{D5CDD505-2E9C-101B-9397-08002B2CF9AE}" pid="3" name="lb169c5bde7e4bcfadda4df6a11dcfbc">
    <vt:lpwstr>DE|676160ea-61f7-4cef-8b4c-1724dec2206e</vt:lpwstr>
  </property>
  <property fmtid="{D5CDD505-2E9C-101B-9397-08002B2CF9AE}" pid="4" name="FroConDoc_language">
    <vt:lpwstr>1;#DE|676160ea-61f7-4cef-8b4c-1724dec2206e</vt:lpwstr>
  </property>
  <property fmtid="{D5CDD505-2E9C-101B-9397-08002B2CF9AE}" pid="5" name="Service Levels TIM-RS">
    <vt:lpwstr/>
  </property>
  <property fmtid="{D5CDD505-2E9C-101B-9397-08002B2CF9AE}" pid="6" name="Products">
    <vt:lpwstr/>
  </property>
  <property fmtid="{D5CDD505-2E9C-101B-9397-08002B2CF9AE}" pid="7" name="Language">
    <vt:lpwstr>259;##ES|dd4c9c45-94c3-4cf4-ab9c-523f2b58f76e</vt:lpwstr>
  </property>
  <property fmtid="{D5CDD505-2E9C-101B-9397-08002B2CF9AE}" pid="8" name="o83eafb9fd8f4e0d935a1b8f7d26b594">
    <vt:lpwstr/>
  </property>
  <property fmtid="{D5CDD505-2E9C-101B-9397-08002B2CF9AE}" pid="9" name="fro_PartnerRoles">
    <vt:lpwstr/>
  </property>
  <property fmtid="{D5CDD505-2E9C-101B-9397-08002B2CF9AE}" pid="10" name="WorkflowChangePath">
    <vt:lpwstr>9cdbbea0-8b1d-414c-b8e4-0f073af644a7,39;</vt:lpwstr>
  </property>
</Properties>
</file>