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EAFB9B" w14:textId="273A2B2D" w:rsidR="002D7A44" w:rsidRPr="00D4115E" w:rsidRDefault="00ED5549" w:rsidP="00604BFB">
      <w:pPr>
        <w:pStyle w:val="berschrift1"/>
        <w:jc w:val="both"/>
      </w:pPr>
      <w:r w:rsidRPr="00D4115E">
        <w:t>Presseinformation</w:t>
      </w:r>
    </w:p>
    <w:p w14:paraId="07CB8F03" w14:textId="06F6FC04" w:rsidR="00ED5549" w:rsidRPr="00D4115E" w:rsidRDefault="0051114E" w:rsidP="00604BFB">
      <w:pPr>
        <w:jc w:val="both"/>
      </w:pPr>
      <w:r w:rsidRPr="00D4115E">
        <w:rPr>
          <w:sz w:val="20"/>
          <w:szCs w:val="20"/>
        </w:rPr>
        <w:t>Solar Energy</w:t>
      </w:r>
    </w:p>
    <w:p w14:paraId="00F13E77" w14:textId="77777777" w:rsidR="00E83DD7" w:rsidRPr="00D4115E" w:rsidRDefault="00E83DD7" w:rsidP="00604BFB">
      <w:pPr>
        <w:jc w:val="both"/>
        <w:rPr>
          <w:sz w:val="20"/>
          <w:szCs w:val="20"/>
        </w:rPr>
      </w:pPr>
    </w:p>
    <w:p w14:paraId="1FB9EC78" w14:textId="2140853D" w:rsidR="0086534F" w:rsidRPr="00A91A3B" w:rsidRDefault="0086534F" w:rsidP="0086534F">
      <w:pPr>
        <w:rPr>
          <w:b/>
        </w:rPr>
      </w:pPr>
      <w:r w:rsidRPr="00A91A3B">
        <w:rPr>
          <w:rFonts w:eastAsiaTheme="majorEastAsia" w:cstheme="majorBidi"/>
          <w:color w:val="D73237"/>
          <w:sz w:val="36"/>
          <w:szCs w:val="32"/>
        </w:rPr>
        <w:t xml:space="preserve">Fronius GEN24 </w:t>
      </w:r>
      <w:r w:rsidRPr="00A91A3B">
        <w:rPr>
          <w:rFonts w:eastAsiaTheme="majorEastAsia" w:cstheme="majorBidi"/>
          <w:color w:val="D73237"/>
          <w:sz w:val="36"/>
          <w:szCs w:val="32"/>
        </w:rPr>
        <w:br/>
      </w:r>
      <w:r w:rsidRPr="00A91A3B">
        <w:rPr>
          <w:b/>
        </w:rPr>
        <w:t>Volle Sonnenkraft für die Energiewende</w:t>
      </w:r>
    </w:p>
    <w:p w14:paraId="3AB18C30" w14:textId="3D6F1ABF" w:rsidR="0086534F" w:rsidRPr="00A91A3B" w:rsidRDefault="0086534F" w:rsidP="0086534F">
      <w:pPr>
        <w:rPr>
          <w:bCs/>
        </w:rPr>
      </w:pPr>
      <w:r w:rsidRPr="00A91A3B">
        <w:rPr>
          <w:bCs/>
          <w:i/>
        </w:rPr>
        <w:t xml:space="preserve">(Wels, </w:t>
      </w:r>
      <w:r w:rsidR="00C30A9C">
        <w:rPr>
          <w:bCs/>
          <w:i/>
        </w:rPr>
        <w:t>15</w:t>
      </w:r>
      <w:r w:rsidRPr="00A91A3B">
        <w:rPr>
          <w:bCs/>
          <w:i/>
        </w:rPr>
        <w:t>.</w:t>
      </w:r>
      <w:r w:rsidR="00B81F67">
        <w:rPr>
          <w:bCs/>
          <w:i/>
        </w:rPr>
        <w:t>November</w:t>
      </w:r>
      <w:r w:rsidRPr="00A91A3B">
        <w:rPr>
          <w:bCs/>
          <w:i/>
        </w:rPr>
        <w:t xml:space="preserve"> 2023) </w:t>
      </w:r>
      <w:r w:rsidRPr="00A91A3B">
        <w:rPr>
          <w:bCs/>
        </w:rPr>
        <w:t>Für optimale Sicherheit und hohen Eigenverbrauch in der solaren Energiegewinnung sorgt Fronius mit seinen hochwertigen Wechselrichtern und erweitert sein Produktportfolio nun mit dem Fronius GEN24.</w:t>
      </w:r>
    </w:p>
    <w:p w14:paraId="485BEA0C" w14:textId="2A9A627A" w:rsidR="0086534F" w:rsidRDefault="0086534F" w:rsidP="0086534F">
      <w:r>
        <w:t xml:space="preserve">Das Herz einer jeden Photovoltaik-Anlage ist der Wechselrichter: Er holt das Beste aus der Sonne heraus und versorgt Haushalte optimal mit Solarstrom – ganz auf </w:t>
      </w:r>
      <w:r w:rsidR="00560B93">
        <w:t xml:space="preserve">die </w:t>
      </w:r>
      <w:r>
        <w:t>individuelle</w:t>
      </w:r>
      <w:r w:rsidR="00560B93">
        <w:t>n</w:t>
      </w:r>
      <w:r>
        <w:t xml:space="preserve"> Bedürfnisse abgestimmt. Auf den bewährten Hybridwechselrichter Fronius GEN24 Plus folgt nun der Fronius GEN24 als neuester Fronius Wechselrichter fürs Eigenheim. Auf den ersten Blick beinahe namensgleich, beeindrucken beide Produkte mit der gewohnten Fronius Qualität sowie spezifischen Features:</w:t>
      </w:r>
    </w:p>
    <w:p w14:paraId="092EBBAF" w14:textId="77777777" w:rsidR="0086534F" w:rsidRDefault="0086534F" w:rsidP="0086534F">
      <w:bookmarkStart w:id="0" w:name="_Hlk147819438"/>
      <w:r>
        <w:t xml:space="preserve">Der neue </w:t>
      </w:r>
      <w:r w:rsidRPr="005963EE">
        <w:rPr>
          <w:b/>
          <w:bCs/>
        </w:rPr>
        <w:t>Fronius GEN24</w:t>
      </w:r>
      <w:r>
        <w:t xml:space="preserve"> überzeugt als vielseitiger Wechselrichter mit integrierter Basisnotstromfunktion, dem PV Point. Im Notstromfall kann über eine separate, abgesicherte Steckdose ein Verbraucher, wie ein </w:t>
      </w:r>
      <w:r w:rsidRPr="00E86B16">
        <w:t>Ra</w:t>
      </w:r>
      <w:r>
        <w:t xml:space="preserve">dio oder Handyladegerät, oder auch ein kleiner Stromkreis bis 3 kW, einphasig ohne zusätzliche Komponenten versorgt werden. </w:t>
      </w:r>
      <w:bookmarkEnd w:id="0"/>
      <w:r>
        <w:t>Ein wichtiger Schritt in Richtung Unabhängigkeit und Energieselbstversorgung. „Mit dem</w:t>
      </w:r>
      <w:r w:rsidRPr="00DD57C6">
        <w:rPr>
          <w:i/>
          <w:iCs/>
        </w:rPr>
        <w:t xml:space="preserve"> Fronius GEN24 </w:t>
      </w:r>
      <w:r>
        <w:rPr>
          <w:i/>
          <w:iCs/>
        </w:rPr>
        <w:t xml:space="preserve">sind </w:t>
      </w:r>
      <w:r w:rsidRPr="00DD57C6">
        <w:rPr>
          <w:i/>
          <w:iCs/>
        </w:rPr>
        <w:t xml:space="preserve">unsere Kundinnen und Kunden weniger vom öffentlichen Stromnetz abhängig und </w:t>
      </w:r>
      <w:r>
        <w:rPr>
          <w:i/>
          <w:iCs/>
        </w:rPr>
        <w:t xml:space="preserve">sparen </w:t>
      </w:r>
      <w:r w:rsidRPr="00DD57C6">
        <w:rPr>
          <w:i/>
          <w:iCs/>
        </w:rPr>
        <w:t>da</w:t>
      </w:r>
      <w:r>
        <w:rPr>
          <w:i/>
          <w:iCs/>
        </w:rPr>
        <w:t>rüber hinaus</w:t>
      </w:r>
      <w:r w:rsidRPr="00DD57C6">
        <w:rPr>
          <w:i/>
          <w:iCs/>
        </w:rPr>
        <w:t xml:space="preserve"> signifikant Kosten“, </w:t>
      </w:r>
      <w:r w:rsidRPr="00D35DB3">
        <w:t>ist Leonhard Peböck, Product Marketing Solar Energy bei der Fronius International GmbH, überzeugt</w:t>
      </w:r>
      <w:r w:rsidRPr="00DD57C6">
        <w:rPr>
          <w:i/>
          <w:iCs/>
        </w:rPr>
        <w:t xml:space="preserve">. „Unser Wechselrichter bietet </w:t>
      </w:r>
      <w:r>
        <w:rPr>
          <w:i/>
          <w:iCs/>
        </w:rPr>
        <w:t>ihnen die effiziente</w:t>
      </w:r>
      <w:r w:rsidRPr="00DD57C6">
        <w:rPr>
          <w:i/>
          <w:iCs/>
        </w:rPr>
        <w:t xml:space="preserve"> Lösung, um den Strom aus der eigenen PV-Anlage direkt zu nutzen, solange die Sonne scheint. In Zeiten </w:t>
      </w:r>
      <w:r>
        <w:rPr>
          <w:i/>
          <w:iCs/>
        </w:rPr>
        <w:t>volatiler</w:t>
      </w:r>
      <w:r w:rsidRPr="00DD57C6">
        <w:rPr>
          <w:i/>
          <w:iCs/>
        </w:rPr>
        <w:t xml:space="preserve"> Energiepreise spricht das besonders für den GEN24</w:t>
      </w:r>
      <w:r>
        <w:t>.“</w:t>
      </w:r>
    </w:p>
    <w:p w14:paraId="60E2DC93" w14:textId="77777777" w:rsidR="0086534F" w:rsidRDefault="0086534F" w:rsidP="0086534F">
      <w:r>
        <w:t xml:space="preserve">Als Hybridwechselrichter ermöglicht der bewährte </w:t>
      </w:r>
      <w:r w:rsidRPr="005963EE">
        <w:rPr>
          <w:b/>
          <w:bCs/>
        </w:rPr>
        <w:t>Fronius GEN24 Plus</w:t>
      </w:r>
      <w:r>
        <w:t xml:space="preserve"> in Kombination mit einer Batterie auch in sonnenarmen (Nacht-)Stunden die Speicherung und den Verbrauch von überschüssigem, selbst erzeugtem Solarstrom und holt so 24 Stunden Sonne ins Haus. Dank der zusätzlichen Notstromoption Full Backup werden bei Netzstromausfall der gesamte Haushalt und selbst große Verbraucher weiterhin </w:t>
      </w:r>
      <w:r w:rsidRPr="002F3A1F">
        <w:t>zuverlässig mit Strom versorgt.</w:t>
      </w:r>
    </w:p>
    <w:p w14:paraId="7A34CF7C" w14:textId="656D30CC" w:rsidR="0086534F" w:rsidRPr="00C30A9C" w:rsidRDefault="0086534F" w:rsidP="0086534F">
      <w:r w:rsidRPr="00A91A3B">
        <w:rPr>
          <w:rFonts w:eastAsiaTheme="majorEastAsia" w:cstheme="majorBidi"/>
          <w:color w:val="D73237"/>
          <w:sz w:val="28"/>
          <w:szCs w:val="26"/>
        </w:rPr>
        <w:t>Per Software-Upgrade zum Hybridwechselrichter</w:t>
      </w:r>
      <w:r w:rsidRPr="00A91A3B">
        <w:rPr>
          <w:rFonts w:eastAsiaTheme="majorEastAsia" w:cstheme="majorBidi"/>
          <w:color w:val="D73237"/>
          <w:sz w:val="28"/>
          <w:szCs w:val="26"/>
        </w:rPr>
        <w:br/>
      </w:r>
      <w:r w:rsidRPr="00C30A9C">
        <w:t>Zuerst die PV-Anlage, danach eine Energiegesamtlösung: Quasi im Handumdrehen wird der Fronius GEN24 zum Hybridwechselrichter inklusive optionaler Full</w:t>
      </w:r>
      <w:r w:rsidR="00904B5D" w:rsidRPr="00C30A9C">
        <w:t>-</w:t>
      </w:r>
      <w:r w:rsidRPr="00C30A9C">
        <w:t xml:space="preserve">Backup-Notstromoption sowie Anbindungsmöglichkeit an einen Batteriespeicher. Möglich wird das durch Fronius UP.storage, </w:t>
      </w:r>
      <w:r w:rsidR="00904B5D" w:rsidRPr="00C30A9C">
        <w:t xml:space="preserve">das </w:t>
      </w:r>
      <w:r w:rsidRPr="00C30A9C">
        <w:t>innovative Software-Upgrade von Fronius. Das macht den Fronius GEN24 nachhaltig zukunftssicher und somit zum beständigen Begleiter auf dem individuellen Weg zur Energiewende.</w:t>
      </w:r>
    </w:p>
    <w:p w14:paraId="5D4B2647" w14:textId="77777777" w:rsidR="0086534F" w:rsidRDefault="0086534F" w:rsidP="0086534F">
      <w:pPr>
        <w:rPr>
          <w:b/>
          <w:bCs/>
        </w:rPr>
      </w:pPr>
    </w:p>
    <w:p w14:paraId="5708D150" w14:textId="77777777" w:rsidR="0086534F" w:rsidRDefault="0086534F" w:rsidP="0086534F">
      <w:pPr>
        <w:rPr>
          <w:i/>
          <w:iCs/>
        </w:rPr>
      </w:pPr>
      <w:r w:rsidRPr="00A91A3B">
        <w:rPr>
          <w:rFonts w:eastAsiaTheme="majorEastAsia" w:cstheme="majorBidi"/>
          <w:color w:val="D73237"/>
          <w:sz w:val="28"/>
          <w:szCs w:val="26"/>
        </w:rPr>
        <w:t>Vielseitigkeit inklusive</w:t>
      </w:r>
      <w:r w:rsidRPr="00A91A3B">
        <w:rPr>
          <w:rFonts w:eastAsiaTheme="majorEastAsia" w:cstheme="majorBidi"/>
          <w:color w:val="D73237"/>
          <w:sz w:val="28"/>
          <w:szCs w:val="26"/>
        </w:rPr>
        <w:br/>
      </w:r>
      <w:r w:rsidRPr="0097352A">
        <w:t>Ob hängend, liegend oder in einem bestimmten Montagewinkel</w:t>
      </w:r>
      <w:r>
        <w:t xml:space="preserve">, ob </w:t>
      </w:r>
      <w:r w:rsidRPr="0097352A">
        <w:t xml:space="preserve">drinnen oder </w:t>
      </w:r>
      <w:r>
        <w:t>draußen platziert</w:t>
      </w:r>
      <w:r w:rsidRPr="0097352A">
        <w:t xml:space="preserve"> – der Fronius GEN24 macht alles mit und bietet </w:t>
      </w:r>
      <w:r>
        <w:t xml:space="preserve">auch unter herausfordernden Voraussetzungen </w:t>
      </w:r>
      <w:r w:rsidRPr="0097352A">
        <w:t>volle Designflexibilität. „</w:t>
      </w:r>
      <w:r w:rsidRPr="0097352A">
        <w:rPr>
          <w:i/>
          <w:iCs/>
        </w:rPr>
        <w:t>Dachkonstruktionen mit unterschiedlich ausgerichteten oder auch kleinen Flächen können so optimal zur Energieerzeugung genutzt werden</w:t>
      </w:r>
      <w:r>
        <w:rPr>
          <w:i/>
          <w:iCs/>
        </w:rPr>
        <w:t xml:space="preserve">. </w:t>
      </w:r>
      <w:r w:rsidRPr="0097352A">
        <w:rPr>
          <w:i/>
          <w:iCs/>
        </w:rPr>
        <w:t>Dank integriertem Verschattungsalgorithmus – dem Dynamic Peak Manager von Fronius - werden selbst bei Teilverschattung höchste Erträge erzielt</w:t>
      </w:r>
      <w:r>
        <w:rPr>
          <w:i/>
          <w:iCs/>
        </w:rPr>
        <w:t>“, erklärt Peböck weiter.</w:t>
      </w:r>
    </w:p>
    <w:p w14:paraId="0852E147" w14:textId="3D3ADE6E" w:rsidR="0086534F" w:rsidRPr="00535F7C" w:rsidRDefault="0086534F" w:rsidP="0086534F">
      <w:pPr>
        <w:rPr>
          <w:b/>
          <w:bCs/>
        </w:rPr>
      </w:pPr>
      <w:r w:rsidRPr="00A91A3B">
        <w:rPr>
          <w:rFonts w:eastAsiaTheme="majorEastAsia" w:cstheme="majorBidi"/>
          <w:color w:val="D73237"/>
          <w:sz w:val="28"/>
          <w:szCs w:val="26"/>
        </w:rPr>
        <w:t>Nachhaltigkeit im Fokus</w:t>
      </w:r>
      <w:r w:rsidRPr="00A91A3B">
        <w:rPr>
          <w:rFonts w:eastAsiaTheme="majorEastAsia" w:cstheme="majorBidi"/>
          <w:color w:val="D73237"/>
          <w:sz w:val="28"/>
          <w:szCs w:val="26"/>
        </w:rPr>
        <w:br/>
      </w:r>
      <w:r>
        <w:t>Der Fronius GEN24 überzeugt mit den bereits prominenten Features der Fronius Wechselrichter, wie der aktiven Kühltechnologie für anhaltend starke Leistungsfähigkeit selbst bei hohen Umgebungstemperaturen oder der offenen Systemarchitektur, die eine einfache Integration von weiteren Komponenten</w:t>
      </w:r>
      <w:r w:rsidR="004630FE">
        <w:t xml:space="preserve"> wie</w:t>
      </w:r>
      <w:r>
        <w:t xml:space="preserve"> beispielsweise Home-Automation-Systeme</w:t>
      </w:r>
      <w:r w:rsidR="004630FE">
        <w:t>n</w:t>
      </w:r>
      <w:r>
        <w:t xml:space="preserve"> ermöglicht. Darüber hinaus können bei Bedarf einzelne Komponenten leicht ausgetauscht und serviciert werden. Das hält sowohl den Ressourcenverbrauch als auch den CO</w:t>
      </w:r>
      <w:r w:rsidRPr="002B2E22">
        <w:rPr>
          <w:vertAlign w:val="subscript"/>
        </w:rPr>
        <w:t>2</w:t>
      </w:r>
      <w:r>
        <w:rPr>
          <w:vertAlign w:val="subscript"/>
        </w:rPr>
        <w:t xml:space="preserve"> </w:t>
      </w:r>
      <w:r>
        <w:t>-Fußabdruck äußerst niedrig, was die Lebenszyklusanalyse (LCA) des nachhaltigen Fronius Wechselrichters „Made in Europe“ eindrücklich bestätigt.</w:t>
      </w:r>
    </w:p>
    <w:p w14:paraId="6E9913E4" w14:textId="77777777" w:rsidR="0086534F" w:rsidRDefault="0086534F" w:rsidP="0086534F">
      <w:r w:rsidRPr="00D35DB3">
        <w:rPr>
          <w:i/>
          <w:iCs/>
        </w:rPr>
        <w:t>„Fronius steht für ganzheitliche Energiesysteme mit dem besten Carbon Footprint. Unsere ganzheitliche und transparente Produkt-Nachhaltigkeit unterscheidet uns wesentlich vom Mitbewerb. Wir sind branchenweit Vorreiter, sowohl hinsichtlich der Detailtiefe als auch der Konsistenz der Ökobilanz. Mit dem Fronius GEN24 gelingt es uns einmal mehr, unsere Kundinnen und Kunden bei ihrer persönlichen Energiewende optimal zu begleiten</w:t>
      </w:r>
      <w:r w:rsidRPr="00D35DB3">
        <w:t>“, ist Martin Hackl, Global Director Marketing &amp; Sales, Business Unit Solar Energy, Fronius International GmbH, überzeugt.</w:t>
      </w:r>
    </w:p>
    <w:p w14:paraId="307F70B2" w14:textId="77777777" w:rsidR="0086534F" w:rsidRPr="002B2E22" w:rsidRDefault="0086534F" w:rsidP="0086534F"/>
    <w:p w14:paraId="39701604" w14:textId="2982096D" w:rsidR="0044171E" w:rsidRPr="0010367F" w:rsidRDefault="0044171E" w:rsidP="0044171E">
      <w:pPr>
        <w:spacing w:before="40" w:after="40"/>
        <w:jc w:val="both"/>
        <w:rPr>
          <w:sz w:val="20"/>
          <w:szCs w:val="20"/>
          <w:lang w:val="de-DE"/>
        </w:rPr>
      </w:pPr>
      <w:r w:rsidRPr="0010367F">
        <w:rPr>
          <w:sz w:val="20"/>
          <w:szCs w:val="20"/>
          <w:lang w:val="de-DE"/>
        </w:rPr>
        <w:t xml:space="preserve">Wörter: </w:t>
      </w:r>
      <w:r w:rsidR="0086534F">
        <w:rPr>
          <w:sz w:val="20"/>
          <w:szCs w:val="20"/>
          <w:lang w:val="de-DE"/>
        </w:rPr>
        <w:t>52</w:t>
      </w:r>
      <w:r w:rsidR="00C30A9C">
        <w:rPr>
          <w:sz w:val="20"/>
          <w:szCs w:val="20"/>
          <w:lang w:val="de-DE"/>
        </w:rPr>
        <w:t>8</w:t>
      </w:r>
    </w:p>
    <w:p w14:paraId="64D1982E" w14:textId="173C2C33" w:rsidR="00931AF5" w:rsidRPr="00EE59F1" w:rsidRDefault="0044171E" w:rsidP="00EE59F1">
      <w:pPr>
        <w:spacing w:before="40" w:after="40"/>
        <w:jc w:val="both"/>
        <w:rPr>
          <w:sz w:val="20"/>
          <w:szCs w:val="20"/>
          <w:lang w:val="de-DE"/>
        </w:rPr>
      </w:pPr>
      <w:r w:rsidRPr="0010367F">
        <w:rPr>
          <w:sz w:val="20"/>
          <w:szCs w:val="20"/>
          <w:lang w:val="de-DE"/>
        </w:rPr>
        <w:t xml:space="preserve">Zeichen: </w:t>
      </w:r>
      <w:r w:rsidR="0086534F">
        <w:rPr>
          <w:sz w:val="20"/>
          <w:szCs w:val="20"/>
          <w:lang w:val="de-DE"/>
        </w:rPr>
        <w:t>4.22</w:t>
      </w:r>
      <w:r w:rsidR="00C30A9C">
        <w:rPr>
          <w:sz w:val="20"/>
          <w:szCs w:val="20"/>
          <w:lang w:val="de-DE"/>
        </w:rPr>
        <w:t>7</w:t>
      </w:r>
      <w:r w:rsidR="00EF6AE6" w:rsidRPr="0010367F">
        <w:rPr>
          <w:sz w:val="20"/>
          <w:szCs w:val="20"/>
          <w:lang w:val="de-DE"/>
        </w:rPr>
        <w:t xml:space="preserve"> </w:t>
      </w:r>
      <w:r w:rsidRPr="0010367F">
        <w:rPr>
          <w:sz w:val="20"/>
          <w:szCs w:val="20"/>
          <w:lang w:val="de-DE"/>
        </w:rPr>
        <w:t>(mit Leerzeichen)</w:t>
      </w:r>
    </w:p>
    <w:p w14:paraId="173FA170" w14:textId="67DDC95F" w:rsidR="00D36739" w:rsidRDefault="00D36739">
      <w:pPr>
        <w:rPr>
          <w:rFonts w:eastAsiaTheme="majorEastAsia" w:cstheme="majorBidi"/>
          <w:iCs/>
          <w:color w:val="000000" w:themeColor="text1"/>
          <w:sz w:val="20"/>
          <w:szCs w:val="20"/>
          <w:highlight w:val="yellow"/>
          <w:u w:val="single"/>
        </w:rPr>
      </w:pPr>
    </w:p>
    <w:p w14:paraId="75F877D7" w14:textId="77777777" w:rsidR="0086534F" w:rsidRDefault="0086534F">
      <w:pPr>
        <w:rPr>
          <w:rFonts w:eastAsiaTheme="majorEastAsia" w:cstheme="majorBidi"/>
          <w:iCs/>
          <w:color w:val="000000" w:themeColor="text1"/>
          <w:sz w:val="20"/>
          <w:szCs w:val="20"/>
          <w:highlight w:val="yellow"/>
          <w:u w:val="single"/>
        </w:rPr>
      </w:pPr>
    </w:p>
    <w:p w14:paraId="06500882" w14:textId="77777777" w:rsidR="0086534F" w:rsidRDefault="0086534F">
      <w:pPr>
        <w:rPr>
          <w:rFonts w:eastAsiaTheme="majorEastAsia" w:cstheme="majorBidi"/>
          <w:iCs/>
          <w:color w:val="000000" w:themeColor="text1"/>
          <w:sz w:val="20"/>
          <w:szCs w:val="20"/>
          <w:highlight w:val="yellow"/>
          <w:u w:val="single"/>
        </w:rPr>
      </w:pPr>
    </w:p>
    <w:p w14:paraId="5E1FB73D" w14:textId="77777777" w:rsidR="009D4084" w:rsidRDefault="009D4084">
      <w:pPr>
        <w:rPr>
          <w:rFonts w:eastAsiaTheme="majorEastAsia" w:cstheme="majorBidi"/>
          <w:iCs/>
          <w:color w:val="000000" w:themeColor="text1"/>
          <w:sz w:val="20"/>
          <w:szCs w:val="20"/>
          <w:highlight w:val="yellow"/>
          <w:u w:val="single"/>
        </w:rPr>
      </w:pPr>
    </w:p>
    <w:p w14:paraId="135D5D08" w14:textId="77777777" w:rsidR="009D4084" w:rsidRDefault="009D4084">
      <w:pPr>
        <w:rPr>
          <w:rFonts w:eastAsiaTheme="majorEastAsia" w:cstheme="majorBidi"/>
          <w:iCs/>
          <w:color w:val="000000" w:themeColor="text1"/>
          <w:sz w:val="20"/>
          <w:szCs w:val="20"/>
          <w:highlight w:val="yellow"/>
          <w:u w:val="single"/>
        </w:rPr>
      </w:pPr>
    </w:p>
    <w:p w14:paraId="068D90E6" w14:textId="77777777" w:rsidR="009D4084" w:rsidRDefault="009D4084">
      <w:pPr>
        <w:rPr>
          <w:rFonts w:eastAsiaTheme="majorEastAsia" w:cstheme="majorBidi"/>
          <w:iCs/>
          <w:color w:val="000000" w:themeColor="text1"/>
          <w:sz w:val="20"/>
          <w:szCs w:val="20"/>
          <w:highlight w:val="yellow"/>
          <w:u w:val="single"/>
        </w:rPr>
      </w:pPr>
    </w:p>
    <w:p w14:paraId="131CFE30" w14:textId="77777777" w:rsidR="009D4084" w:rsidRDefault="009D4084">
      <w:pPr>
        <w:rPr>
          <w:rFonts w:eastAsiaTheme="majorEastAsia" w:cstheme="majorBidi"/>
          <w:iCs/>
          <w:color w:val="000000" w:themeColor="text1"/>
          <w:sz w:val="20"/>
          <w:szCs w:val="20"/>
          <w:highlight w:val="yellow"/>
          <w:u w:val="single"/>
        </w:rPr>
      </w:pPr>
    </w:p>
    <w:p w14:paraId="4F603221" w14:textId="77777777" w:rsidR="009D4084" w:rsidRDefault="009D4084">
      <w:pPr>
        <w:rPr>
          <w:rFonts w:eastAsiaTheme="majorEastAsia" w:cstheme="majorBidi"/>
          <w:iCs/>
          <w:color w:val="000000" w:themeColor="text1"/>
          <w:sz w:val="20"/>
          <w:szCs w:val="20"/>
          <w:highlight w:val="yellow"/>
          <w:u w:val="single"/>
        </w:rPr>
      </w:pPr>
    </w:p>
    <w:p w14:paraId="4FAAD9C0" w14:textId="77777777" w:rsidR="009D18F5" w:rsidRPr="0010367F" w:rsidRDefault="009D18F5" w:rsidP="009D18F5">
      <w:pPr>
        <w:pStyle w:val="berschrift4"/>
        <w:jc w:val="both"/>
        <w:rPr>
          <w:sz w:val="20"/>
          <w:szCs w:val="20"/>
          <w:lang w:val="de-DE"/>
        </w:rPr>
      </w:pPr>
      <w:r w:rsidRPr="0010367F">
        <w:rPr>
          <w:sz w:val="20"/>
          <w:szCs w:val="20"/>
          <w:lang w:val="de-DE"/>
        </w:rPr>
        <w:lastRenderedPageBreak/>
        <w:t>Übersicht Bildmaterial</w:t>
      </w:r>
    </w:p>
    <w:p w14:paraId="25066DDE" w14:textId="77777777" w:rsidR="00464C4A" w:rsidRDefault="00464C4A" w:rsidP="00464C4A"/>
    <w:tbl>
      <w:tblPr>
        <w:tblStyle w:val="Tabellenraster"/>
        <w:tblW w:w="0" w:type="auto"/>
        <w:tblLook w:val="04A0" w:firstRow="1" w:lastRow="0" w:firstColumn="1" w:lastColumn="0" w:noHBand="0" w:noVBand="1"/>
      </w:tblPr>
      <w:tblGrid>
        <w:gridCol w:w="4531"/>
        <w:gridCol w:w="4531"/>
      </w:tblGrid>
      <w:tr w:rsidR="0086534F" w14:paraId="2BBA828A" w14:textId="77777777" w:rsidTr="00F063DD">
        <w:tc>
          <w:tcPr>
            <w:tcW w:w="4531" w:type="dxa"/>
          </w:tcPr>
          <w:p w14:paraId="13E183D4" w14:textId="77777777" w:rsidR="0086534F" w:rsidRDefault="0086534F" w:rsidP="00F063DD">
            <w:r>
              <w:rPr>
                <w:noProof/>
              </w:rPr>
              <w:drawing>
                <wp:inline distT="0" distB="0" distL="0" distR="0" wp14:anchorId="270E6063" wp14:editId="6D947C65">
                  <wp:extent cx="2609850" cy="1951346"/>
                  <wp:effectExtent l="0" t="0" r="0" b="0"/>
                  <wp:docPr id="163970461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704610" name=""/>
                          <pic:cNvPicPr/>
                        </pic:nvPicPr>
                        <pic:blipFill>
                          <a:blip r:embed="rId7"/>
                          <a:stretch>
                            <a:fillRect/>
                          </a:stretch>
                        </pic:blipFill>
                        <pic:spPr>
                          <a:xfrm>
                            <a:off x="0" y="0"/>
                            <a:ext cx="2616511" cy="1956327"/>
                          </a:xfrm>
                          <a:prstGeom prst="rect">
                            <a:avLst/>
                          </a:prstGeom>
                        </pic:spPr>
                      </pic:pic>
                    </a:graphicData>
                  </a:graphic>
                </wp:inline>
              </w:drawing>
            </w:r>
          </w:p>
          <w:p w14:paraId="4D8B29B7" w14:textId="77777777" w:rsidR="0086534F" w:rsidRDefault="0086534F" w:rsidP="00F063DD"/>
        </w:tc>
        <w:tc>
          <w:tcPr>
            <w:tcW w:w="4531" w:type="dxa"/>
          </w:tcPr>
          <w:p w14:paraId="6ECC392E" w14:textId="77777777" w:rsidR="0086534F" w:rsidRDefault="0086534F" w:rsidP="00F063DD">
            <w:r>
              <w:t>Der Fronius GEN24 Wechselrichter</w:t>
            </w:r>
          </w:p>
        </w:tc>
      </w:tr>
      <w:tr w:rsidR="0086534F" w14:paraId="791EF1E3" w14:textId="77777777" w:rsidTr="00F063DD">
        <w:tc>
          <w:tcPr>
            <w:tcW w:w="4531" w:type="dxa"/>
          </w:tcPr>
          <w:p w14:paraId="2D2EA01B" w14:textId="77777777" w:rsidR="0086534F" w:rsidRDefault="0086534F" w:rsidP="00F063DD">
            <w:r>
              <w:rPr>
                <w:noProof/>
              </w:rPr>
              <w:drawing>
                <wp:inline distT="0" distB="0" distL="0" distR="0" wp14:anchorId="74752500" wp14:editId="4D196A02">
                  <wp:extent cx="2571750" cy="1731226"/>
                  <wp:effectExtent l="0" t="0" r="0" b="2540"/>
                  <wp:docPr id="45862799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627998" name=""/>
                          <pic:cNvPicPr/>
                        </pic:nvPicPr>
                        <pic:blipFill>
                          <a:blip r:embed="rId8"/>
                          <a:stretch>
                            <a:fillRect/>
                          </a:stretch>
                        </pic:blipFill>
                        <pic:spPr>
                          <a:xfrm>
                            <a:off x="0" y="0"/>
                            <a:ext cx="2587136" cy="1741583"/>
                          </a:xfrm>
                          <a:prstGeom prst="rect">
                            <a:avLst/>
                          </a:prstGeom>
                        </pic:spPr>
                      </pic:pic>
                    </a:graphicData>
                  </a:graphic>
                </wp:inline>
              </w:drawing>
            </w:r>
          </w:p>
          <w:p w14:paraId="70C0F995" w14:textId="77777777" w:rsidR="0086534F" w:rsidRDefault="0086534F" w:rsidP="00F063DD"/>
        </w:tc>
        <w:tc>
          <w:tcPr>
            <w:tcW w:w="4531" w:type="dxa"/>
          </w:tcPr>
          <w:p w14:paraId="3633B7CD" w14:textId="77777777" w:rsidR="0086534F" w:rsidRDefault="0086534F" w:rsidP="00F063DD">
            <w:r>
              <w:t>Die Fronius GEN24 Produktfamilie bietet flexible Installationsmöglichkeiten.</w:t>
            </w:r>
          </w:p>
        </w:tc>
      </w:tr>
      <w:tr w:rsidR="0086534F" w14:paraId="591573F5" w14:textId="77777777" w:rsidTr="00F063DD">
        <w:tc>
          <w:tcPr>
            <w:tcW w:w="4531" w:type="dxa"/>
          </w:tcPr>
          <w:p w14:paraId="33327712" w14:textId="77777777" w:rsidR="0086534F" w:rsidRDefault="0086534F" w:rsidP="00F063DD">
            <w:r>
              <w:rPr>
                <w:noProof/>
              </w:rPr>
              <w:drawing>
                <wp:inline distT="0" distB="0" distL="0" distR="0" wp14:anchorId="6304B60D" wp14:editId="46C8FD12">
                  <wp:extent cx="2600325" cy="1945944"/>
                  <wp:effectExtent l="0" t="0" r="0" b="0"/>
                  <wp:docPr id="136438455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384554" name=""/>
                          <pic:cNvPicPr/>
                        </pic:nvPicPr>
                        <pic:blipFill>
                          <a:blip r:embed="rId9"/>
                          <a:stretch>
                            <a:fillRect/>
                          </a:stretch>
                        </pic:blipFill>
                        <pic:spPr>
                          <a:xfrm>
                            <a:off x="0" y="0"/>
                            <a:ext cx="2612344" cy="1954938"/>
                          </a:xfrm>
                          <a:prstGeom prst="rect">
                            <a:avLst/>
                          </a:prstGeom>
                        </pic:spPr>
                      </pic:pic>
                    </a:graphicData>
                  </a:graphic>
                </wp:inline>
              </w:drawing>
            </w:r>
          </w:p>
          <w:p w14:paraId="320EACB4" w14:textId="77777777" w:rsidR="0086534F" w:rsidRDefault="0086534F" w:rsidP="00F063DD"/>
        </w:tc>
        <w:tc>
          <w:tcPr>
            <w:tcW w:w="4531" w:type="dxa"/>
          </w:tcPr>
          <w:p w14:paraId="780453F2" w14:textId="77777777" w:rsidR="0086534F" w:rsidRDefault="0086534F" w:rsidP="00F063DD">
            <w:r>
              <w:t xml:space="preserve">Die Fronius GEN24 Produktfamilie überzeugt in Punkto Nachhaltigkeit. </w:t>
            </w:r>
          </w:p>
        </w:tc>
      </w:tr>
    </w:tbl>
    <w:p w14:paraId="160F9E6F" w14:textId="77777777" w:rsidR="009D18F5" w:rsidRDefault="009D18F5">
      <w:pPr>
        <w:rPr>
          <w:rFonts w:eastAsiaTheme="majorEastAsia" w:cstheme="majorBidi"/>
          <w:iCs/>
          <w:color w:val="000000" w:themeColor="text1"/>
          <w:sz w:val="20"/>
          <w:szCs w:val="20"/>
          <w:highlight w:val="yellow"/>
          <w:u w:val="single"/>
        </w:rPr>
      </w:pPr>
    </w:p>
    <w:p w14:paraId="001BB68B" w14:textId="77777777" w:rsidR="009D18F5" w:rsidRPr="0010367F" w:rsidRDefault="009D18F5" w:rsidP="009D18F5">
      <w:pPr>
        <w:jc w:val="both"/>
        <w:rPr>
          <w:i/>
          <w:iCs/>
          <w:sz w:val="18"/>
          <w:szCs w:val="18"/>
          <w:lang w:val="de-DE"/>
        </w:rPr>
      </w:pPr>
      <w:r w:rsidRPr="0010367F">
        <w:rPr>
          <w:i/>
          <w:iCs/>
          <w:sz w:val="18"/>
          <w:szCs w:val="18"/>
          <w:lang w:val="de-DE"/>
        </w:rPr>
        <w:t>Fotocredits: Fronius International GmbH, Abdruck honorarfrei</w:t>
      </w:r>
    </w:p>
    <w:p w14:paraId="5F55F819" w14:textId="77777777" w:rsidR="009D18F5" w:rsidRDefault="009D18F5">
      <w:pPr>
        <w:rPr>
          <w:rFonts w:eastAsiaTheme="majorEastAsia" w:cstheme="majorBidi"/>
          <w:iCs/>
          <w:color w:val="000000" w:themeColor="text1"/>
          <w:sz w:val="20"/>
          <w:szCs w:val="20"/>
          <w:highlight w:val="yellow"/>
          <w:u w:val="single"/>
        </w:rPr>
      </w:pPr>
    </w:p>
    <w:p w14:paraId="1070940D" w14:textId="77777777" w:rsidR="00C30A9C" w:rsidRPr="002D5D2A" w:rsidRDefault="00C30A9C" w:rsidP="00C30A9C">
      <w:pPr>
        <w:rPr>
          <w:rFonts w:eastAsiaTheme="majorEastAsia" w:cstheme="majorBidi"/>
          <w:b/>
          <w:iCs/>
          <w:color w:val="000000" w:themeColor="text1"/>
        </w:rPr>
      </w:pPr>
      <w:r w:rsidRPr="002D5D2A">
        <w:rPr>
          <w:b/>
        </w:rPr>
        <w:t>Business Unit Solar Energy</w:t>
      </w:r>
    </w:p>
    <w:p w14:paraId="49EC816D" w14:textId="77777777" w:rsidR="00C30A9C" w:rsidRDefault="00C30A9C" w:rsidP="00C30A9C">
      <w:r>
        <w:t xml:space="preserve">Die 1992 gegründete Fronius Business Unit (BU) Solar Energy entwickelt unter dem Motto „Energize your life.“ innovative Lösungen, mit denen sich Sonnenenergie kosteneffizient und intelligent erzeugen, speichern, verteilen und verbrauchen lässt. Fronius Solar Energy macht es möglich, 24 Stunden Sonne zu nutzen, und ist so Wegbereiter einer lebenswerten Zukunft, in der erneuerbare Energien zu 100 Prozent </w:t>
      </w:r>
      <w:r>
        <w:lastRenderedPageBreak/>
        <w:t xml:space="preserve">den weltweiten Energiebedarf decken. Nachhaltig entwickelt und produziert werden unsere Lösungen komplett in Europa – überwiegend in Österreich. Weltweit ist Fronius Solar Energy mit 26 Niederlassungen vertreten und kann bis dato auf eine Gesamtleistung von mehr als 29 Gigawatt installierter Wechselrichter verweisen. Der Vertrieb erfolgt über ein globales Kompetenznetzwerk aus Installations-, Service- und Vertriebspartnern. </w:t>
      </w:r>
    </w:p>
    <w:p w14:paraId="112E101D" w14:textId="77777777" w:rsidR="00C30A9C" w:rsidRPr="002D5D2A" w:rsidRDefault="00C30A9C" w:rsidP="00C30A9C">
      <w:pPr>
        <w:rPr>
          <w:b/>
        </w:rPr>
      </w:pPr>
      <w:r w:rsidRPr="002D5D2A">
        <w:rPr>
          <w:b/>
        </w:rPr>
        <w:t>Wir sind Fronius</w:t>
      </w:r>
    </w:p>
    <w:p w14:paraId="2F2CD006" w14:textId="77777777" w:rsidR="00C30A9C" w:rsidRDefault="00C30A9C" w:rsidP="00C30A9C">
      <w:r>
        <w:t>Mehr als 8.000 Mitarbeiterinnen und Mitarbeiter weltweit, ein aktueller Exportanteil von 87 Prozent und 1.446 aktive Patente: Das sind wir, das ist Fronius. 1945 als regionaler Ein-Mann-Betrieb gegründet, gehören wir heute zu den Global Playern, was unsere 37 internationalen Tochtergesellschaften sowie unser Netzwerk an Vertriebspartnern in mehr als 60 Ländern eindrucksvoll beweisen. Und doch sind wir im Kern immer noch ein Familienunternehmen aus Österreich, das in der Photovoltaik, Schweiß- und Batterieladetechnologie tätig ist. Seit jeher entwickeln wir Produkte und Lösungen für eine lebenswerte Zukunft und bieten unseren Kundinnen und Kunden dabei ein All-in-one-Paket an: von der vorausgehenden Planung und Beratung über das fortlaufende Monitoring bis hin zum bedarfsgerechten Reparaturservice. Wir sind innovativ. Wir sind neugierig. Wir sind Fronius.</w:t>
      </w:r>
    </w:p>
    <w:p w14:paraId="65354574" w14:textId="77777777" w:rsidR="00C30A9C" w:rsidRDefault="00C30A9C" w:rsidP="00C30A9C">
      <w:pPr>
        <w:jc w:val="both"/>
        <w:rPr>
          <w:sz w:val="20"/>
          <w:szCs w:val="20"/>
        </w:rPr>
      </w:pPr>
    </w:p>
    <w:p w14:paraId="47B653B9" w14:textId="77777777" w:rsidR="00C30A9C" w:rsidRPr="002D5D2A" w:rsidRDefault="00C30A9C" w:rsidP="00C30A9C">
      <w:pPr>
        <w:rPr>
          <w:u w:val="single"/>
        </w:rPr>
      </w:pPr>
      <w:r w:rsidRPr="002D5D2A">
        <w:rPr>
          <w:u w:val="single"/>
        </w:rPr>
        <w:t>Rückfragehinweis</w:t>
      </w:r>
    </w:p>
    <w:p w14:paraId="38B6BF38" w14:textId="77777777" w:rsidR="00C30A9C" w:rsidRDefault="00C30A9C" w:rsidP="00C30A9C">
      <w:pPr>
        <w:rPr>
          <w:sz w:val="20"/>
          <w:szCs w:val="20"/>
        </w:rPr>
      </w:pPr>
      <w:bookmarkStart w:id="1" w:name="_Hlk138232986"/>
      <w:r>
        <w:rPr>
          <w:sz w:val="20"/>
          <w:szCs w:val="20"/>
        </w:rPr>
        <w:t>Fronius International GmbH, Mag. Fabian SCHWARZ</w:t>
      </w:r>
      <w:r>
        <w:rPr>
          <w:sz w:val="20"/>
          <w:szCs w:val="20"/>
        </w:rPr>
        <w:br/>
        <w:t xml:space="preserve">+43 664 88536765, </w:t>
      </w:r>
      <w:hyperlink r:id="rId10" w:history="1">
        <w:r>
          <w:rPr>
            <w:rStyle w:val="Hyperlink"/>
            <w:sz w:val="20"/>
            <w:szCs w:val="20"/>
          </w:rPr>
          <w:t>schwarz.fabian@fronius.com</w:t>
        </w:r>
      </w:hyperlink>
      <w:r>
        <w:rPr>
          <w:sz w:val="20"/>
          <w:szCs w:val="20"/>
        </w:rPr>
        <w:t>,</w:t>
      </w:r>
      <w:r>
        <w:rPr>
          <w:sz w:val="20"/>
          <w:szCs w:val="20"/>
        </w:rPr>
        <w:br/>
        <w:t>Froniusplatz 1, 4600 Wels, Austria</w:t>
      </w:r>
    </w:p>
    <w:bookmarkEnd w:id="1"/>
    <w:p w14:paraId="55D2871B" w14:textId="77777777" w:rsidR="00C30A9C" w:rsidRDefault="00C30A9C" w:rsidP="00C30A9C">
      <w:pPr>
        <w:spacing w:before="40" w:after="40"/>
        <w:rPr>
          <w:rStyle w:val="Hyperlink"/>
        </w:rPr>
      </w:pPr>
      <w:r>
        <w:rPr>
          <w:rFonts w:eastAsiaTheme="majorEastAsia" w:cstheme="majorBidi"/>
          <w:iCs/>
          <w:color w:val="000000" w:themeColor="text1"/>
          <w:sz w:val="20"/>
          <w:szCs w:val="20"/>
          <w:u w:val="single"/>
        </w:rPr>
        <w:t>Belegexemplar</w:t>
      </w:r>
      <w:r>
        <w:rPr>
          <w:rFonts w:eastAsiaTheme="majorEastAsia" w:cstheme="majorBidi"/>
          <w:iCs/>
          <w:color w:val="000000" w:themeColor="text1"/>
          <w:sz w:val="20"/>
          <w:szCs w:val="20"/>
          <w:u w:val="single"/>
        </w:rPr>
        <w:br/>
      </w:r>
      <w:r>
        <w:rPr>
          <w:sz w:val="20"/>
          <w:szCs w:val="20"/>
        </w:rPr>
        <w:t>a1kommunikation Schweizer GmbH, Rüdiger KEMPA,</w:t>
      </w:r>
      <w:r>
        <w:rPr>
          <w:sz w:val="20"/>
          <w:szCs w:val="20"/>
        </w:rPr>
        <w:br/>
      </w:r>
      <w:hyperlink r:id="rId11" w:history="1">
        <w:r>
          <w:rPr>
            <w:rStyle w:val="Hyperlink"/>
            <w:sz w:val="20"/>
            <w:szCs w:val="20"/>
          </w:rPr>
          <w:t>rke@a1kommunikation.de</w:t>
        </w:r>
      </w:hyperlink>
    </w:p>
    <w:p w14:paraId="089606C1" w14:textId="77777777" w:rsidR="00C30A9C" w:rsidRDefault="00C30A9C" w:rsidP="00C30A9C">
      <w:pPr>
        <w:spacing w:before="40" w:after="40"/>
      </w:pPr>
      <w:r>
        <w:rPr>
          <w:sz w:val="20"/>
          <w:szCs w:val="20"/>
        </w:rPr>
        <w:t>Oberdorfstraße 31A, 70794 Filderstadt, Deutschland</w:t>
      </w:r>
    </w:p>
    <w:p w14:paraId="7E8DDBD2" w14:textId="77777777" w:rsidR="00C30A9C" w:rsidRDefault="00C30A9C" w:rsidP="00C30A9C">
      <w:pPr>
        <w:jc w:val="both"/>
        <w:rPr>
          <w:sz w:val="20"/>
          <w:szCs w:val="20"/>
        </w:rPr>
      </w:pPr>
    </w:p>
    <w:p w14:paraId="233712F5" w14:textId="77777777" w:rsidR="00C30A9C" w:rsidRDefault="00C30A9C" w:rsidP="00C30A9C">
      <w:pPr>
        <w:jc w:val="both"/>
        <w:rPr>
          <w:sz w:val="16"/>
          <w:szCs w:val="16"/>
        </w:rPr>
      </w:pPr>
      <w:r>
        <w:rPr>
          <w:sz w:val="16"/>
          <w:szCs w:val="16"/>
        </w:rPr>
        <w:t xml:space="preserve">Wenn Sie keine Presseaussendungen von Fronius International (Solar Energy) mehr erhalten wollen, antworten Sie bitte mit UNSUBSCRIBE auf die Mailadresse </w:t>
      </w:r>
      <w:hyperlink r:id="rId12" w:history="1">
        <w:r>
          <w:rPr>
            <w:rStyle w:val="Hyperlink"/>
            <w:sz w:val="16"/>
            <w:szCs w:val="16"/>
          </w:rPr>
          <w:t>cancellation@fronius.com</w:t>
        </w:r>
      </w:hyperlink>
    </w:p>
    <w:p w14:paraId="12DF0AA9" w14:textId="77777777" w:rsidR="00C30A9C" w:rsidRDefault="00B81F67" w:rsidP="00C30A9C">
      <w:pPr>
        <w:jc w:val="both"/>
        <w:rPr>
          <w:sz w:val="16"/>
          <w:szCs w:val="16"/>
        </w:rPr>
      </w:pPr>
      <w:hyperlink r:id="rId13" w:history="1">
        <w:r w:rsidR="00C30A9C">
          <w:rPr>
            <w:rStyle w:val="Hyperlink"/>
            <w:sz w:val="16"/>
            <w:szCs w:val="16"/>
          </w:rPr>
          <w:t>cancellation@fronius.com</w:t>
        </w:r>
      </w:hyperlink>
    </w:p>
    <w:p w14:paraId="11A8BE14" w14:textId="77777777" w:rsidR="00C30A9C" w:rsidRDefault="00C30A9C" w:rsidP="00C30A9C"/>
    <w:p w14:paraId="47EF5EF6" w14:textId="77777777" w:rsidR="00BB13FF" w:rsidRPr="0010367F" w:rsidRDefault="00BB13FF" w:rsidP="00604BFB">
      <w:pPr>
        <w:jc w:val="both"/>
        <w:rPr>
          <w:sz w:val="16"/>
          <w:szCs w:val="16"/>
          <w:lang w:val="de-DE"/>
        </w:rPr>
      </w:pPr>
    </w:p>
    <w:sectPr w:rsidR="00BB13FF" w:rsidRPr="0010367F">
      <w:headerReference w:type="default" r:id="rId14"/>
      <w:footerReference w:type="defaul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2677EB" w14:textId="77777777" w:rsidR="00AB1EF3" w:rsidRDefault="00AB1EF3" w:rsidP="00B54547">
      <w:pPr>
        <w:spacing w:after="0" w:line="240" w:lineRule="auto"/>
      </w:pPr>
      <w:r>
        <w:separator/>
      </w:r>
    </w:p>
  </w:endnote>
  <w:endnote w:type="continuationSeparator" w:id="0">
    <w:p w14:paraId="18BC45E6" w14:textId="77777777" w:rsidR="00AB1EF3" w:rsidRDefault="00AB1EF3"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Fuzeile"/>
    </w:pPr>
    <w:r w:rsidRPr="002B507B">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lang w:val="en-US"/>
                            </w:rPr>
                          </w:pPr>
                          <w:r w:rsidRPr="00F67DEF">
                            <w:rPr>
                              <w:rFonts w:cs="Noto Sans"/>
                              <w:sz w:val="12"/>
                              <w:szCs w:val="12"/>
                              <w:lang w:val="en-US"/>
                            </w:rPr>
                            <w:t xml:space="preserve">Information Class: </w:t>
                          </w:r>
                          <w:r w:rsidR="00ED5549">
                            <w:rPr>
                              <w:rFonts w:cs="Noto Sans"/>
                              <w:sz w:val="12"/>
                              <w:szCs w:val="12"/>
                              <w:lang w:val="en-US"/>
                            </w:rPr>
                            <w:t>Public</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lang w:val="en-US"/>
                      </w:rPr>
                    </w:pPr>
                    <w:r w:rsidRPr="00F67DEF">
                      <w:rPr>
                        <w:rFonts w:cs="Noto Sans"/>
                        <w:sz w:val="12"/>
                        <w:szCs w:val="12"/>
                        <w:lang w:val="en-US"/>
                      </w:rPr>
                      <w:t xml:space="preserve">Information Class: </w:t>
                    </w:r>
                    <w:r w:rsidR="00ED5549">
                      <w:rPr>
                        <w:rFonts w:cs="Noto Sans"/>
                        <w:sz w:val="12"/>
                        <w:szCs w:val="12"/>
                        <w:lang w:val="en-US"/>
                      </w:rPr>
                      <w:t>Public</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FF798" w14:textId="77777777" w:rsidR="00AB1EF3" w:rsidRDefault="00AB1EF3" w:rsidP="00B54547">
      <w:pPr>
        <w:spacing w:after="0" w:line="240" w:lineRule="auto"/>
      </w:pPr>
      <w:r>
        <w:separator/>
      </w:r>
    </w:p>
  </w:footnote>
  <w:footnote w:type="continuationSeparator" w:id="0">
    <w:p w14:paraId="614D1AC6" w14:textId="77777777" w:rsidR="00AB1EF3" w:rsidRDefault="00AB1EF3"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sidRPr="000C0078">
      <w:rPr>
        <w:rFonts w:cs="Noto Sans"/>
        <w:noProof/>
        <w:sz w:val="20"/>
        <w:szCs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487088938">
    <w:abstractNumId w:val="7"/>
  </w:num>
  <w:num w:numId="2" w16cid:durableId="2071612165">
    <w:abstractNumId w:val="0"/>
  </w:num>
  <w:num w:numId="3" w16cid:durableId="1684163230">
    <w:abstractNumId w:val="4"/>
  </w:num>
  <w:num w:numId="4" w16cid:durableId="325283793">
    <w:abstractNumId w:val="6"/>
  </w:num>
  <w:num w:numId="5" w16cid:durableId="2126580878">
    <w:abstractNumId w:val="5"/>
  </w:num>
  <w:num w:numId="6" w16cid:durableId="1366295820">
    <w:abstractNumId w:val="1"/>
  </w:num>
  <w:num w:numId="7" w16cid:durableId="2109889304">
    <w:abstractNumId w:val="3"/>
  </w:num>
  <w:num w:numId="8" w16cid:durableId="59830026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attachedTemplate r:id="rId1"/>
  <w:defaultTabStop w:val="708"/>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01B94"/>
    <w:rsid w:val="0001297E"/>
    <w:rsid w:val="000223CE"/>
    <w:rsid w:val="000262E1"/>
    <w:rsid w:val="00030C3B"/>
    <w:rsid w:val="00050CA3"/>
    <w:rsid w:val="00086BA5"/>
    <w:rsid w:val="000A3045"/>
    <w:rsid w:val="000B2252"/>
    <w:rsid w:val="000B4B17"/>
    <w:rsid w:val="000C153C"/>
    <w:rsid w:val="000C480A"/>
    <w:rsid w:val="000D0E88"/>
    <w:rsid w:val="000E1336"/>
    <w:rsid w:val="000E30D3"/>
    <w:rsid w:val="000E6ED2"/>
    <w:rsid w:val="000F0A99"/>
    <w:rsid w:val="00102F0B"/>
    <w:rsid w:val="0010367F"/>
    <w:rsid w:val="00105E2F"/>
    <w:rsid w:val="00124D5C"/>
    <w:rsid w:val="001273DB"/>
    <w:rsid w:val="0015484D"/>
    <w:rsid w:val="00163975"/>
    <w:rsid w:val="001668E3"/>
    <w:rsid w:val="00196F99"/>
    <w:rsid w:val="001A34C4"/>
    <w:rsid w:val="001A4ABB"/>
    <w:rsid w:val="001B4713"/>
    <w:rsid w:val="001E40FF"/>
    <w:rsid w:val="00202BA1"/>
    <w:rsid w:val="0020361A"/>
    <w:rsid w:val="00206AAB"/>
    <w:rsid w:val="00240E30"/>
    <w:rsid w:val="0024308B"/>
    <w:rsid w:val="00244059"/>
    <w:rsid w:val="00282219"/>
    <w:rsid w:val="002975A8"/>
    <w:rsid w:val="002C383B"/>
    <w:rsid w:val="002D4EDD"/>
    <w:rsid w:val="002D7A44"/>
    <w:rsid w:val="002E4785"/>
    <w:rsid w:val="002F207D"/>
    <w:rsid w:val="002F2BDF"/>
    <w:rsid w:val="003405C8"/>
    <w:rsid w:val="0035105E"/>
    <w:rsid w:val="00367059"/>
    <w:rsid w:val="00385E37"/>
    <w:rsid w:val="00387CE6"/>
    <w:rsid w:val="003D1173"/>
    <w:rsid w:val="003D5E1B"/>
    <w:rsid w:val="003E6855"/>
    <w:rsid w:val="003F7CBB"/>
    <w:rsid w:val="00400B6E"/>
    <w:rsid w:val="00403C78"/>
    <w:rsid w:val="00413468"/>
    <w:rsid w:val="00424297"/>
    <w:rsid w:val="00427121"/>
    <w:rsid w:val="004303CC"/>
    <w:rsid w:val="0044171E"/>
    <w:rsid w:val="004420B7"/>
    <w:rsid w:val="004448C8"/>
    <w:rsid w:val="004514C1"/>
    <w:rsid w:val="00451F65"/>
    <w:rsid w:val="00452C37"/>
    <w:rsid w:val="00455012"/>
    <w:rsid w:val="00457027"/>
    <w:rsid w:val="004630FE"/>
    <w:rsid w:val="00464C4A"/>
    <w:rsid w:val="00470A9D"/>
    <w:rsid w:val="00477AA8"/>
    <w:rsid w:val="00486CF0"/>
    <w:rsid w:val="004933ED"/>
    <w:rsid w:val="004C41B9"/>
    <w:rsid w:val="004C5005"/>
    <w:rsid w:val="004D2B47"/>
    <w:rsid w:val="004E4178"/>
    <w:rsid w:val="0051114E"/>
    <w:rsid w:val="00512C4C"/>
    <w:rsid w:val="00520B9D"/>
    <w:rsid w:val="00531FE1"/>
    <w:rsid w:val="00544C48"/>
    <w:rsid w:val="0055170B"/>
    <w:rsid w:val="00560B93"/>
    <w:rsid w:val="00576441"/>
    <w:rsid w:val="00580B8B"/>
    <w:rsid w:val="00582BF5"/>
    <w:rsid w:val="005A1F5E"/>
    <w:rsid w:val="005A26BF"/>
    <w:rsid w:val="005B2AA1"/>
    <w:rsid w:val="005C4594"/>
    <w:rsid w:val="005E64B3"/>
    <w:rsid w:val="00604BFB"/>
    <w:rsid w:val="00610CC6"/>
    <w:rsid w:val="006118F9"/>
    <w:rsid w:val="00651247"/>
    <w:rsid w:val="00661693"/>
    <w:rsid w:val="00670F02"/>
    <w:rsid w:val="006835B1"/>
    <w:rsid w:val="006874F0"/>
    <w:rsid w:val="00691B56"/>
    <w:rsid w:val="00694B2F"/>
    <w:rsid w:val="00696800"/>
    <w:rsid w:val="006A1A63"/>
    <w:rsid w:val="006C2F82"/>
    <w:rsid w:val="006D2AEF"/>
    <w:rsid w:val="006D6430"/>
    <w:rsid w:val="00703F47"/>
    <w:rsid w:val="00717144"/>
    <w:rsid w:val="00730C60"/>
    <w:rsid w:val="00732E84"/>
    <w:rsid w:val="007646D4"/>
    <w:rsid w:val="00765198"/>
    <w:rsid w:val="0077415F"/>
    <w:rsid w:val="0078525A"/>
    <w:rsid w:val="007A07DE"/>
    <w:rsid w:val="007A57E3"/>
    <w:rsid w:val="007A60A2"/>
    <w:rsid w:val="007C61B7"/>
    <w:rsid w:val="007E1AC0"/>
    <w:rsid w:val="00816914"/>
    <w:rsid w:val="00831633"/>
    <w:rsid w:val="008404EE"/>
    <w:rsid w:val="00861F4A"/>
    <w:rsid w:val="0086534F"/>
    <w:rsid w:val="00884DE1"/>
    <w:rsid w:val="00890C66"/>
    <w:rsid w:val="008931C0"/>
    <w:rsid w:val="008C20E2"/>
    <w:rsid w:val="008C5190"/>
    <w:rsid w:val="008D7983"/>
    <w:rsid w:val="008E1774"/>
    <w:rsid w:val="008F4ED5"/>
    <w:rsid w:val="00901E8B"/>
    <w:rsid w:val="00904B5D"/>
    <w:rsid w:val="00906151"/>
    <w:rsid w:val="00906679"/>
    <w:rsid w:val="009138B9"/>
    <w:rsid w:val="009319D8"/>
    <w:rsid w:val="00931AF5"/>
    <w:rsid w:val="0094020D"/>
    <w:rsid w:val="00947D95"/>
    <w:rsid w:val="00962B6D"/>
    <w:rsid w:val="00963BB4"/>
    <w:rsid w:val="00973A9B"/>
    <w:rsid w:val="00980E44"/>
    <w:rsid w:val="009C3A16"/>
    <w:rsid w:val="009C6149"/>
    <w:rsid w:val="009C734D"/>
    <w:rsid w:val="009D18F5"/>
    <w:rsid w:val="009D4084"/>
    <w:rsid w:val="00A33FA2"/>
    <w:rsid w:val="00A5104A"/>
    <w:rsid w:val="00A65F08"/>
    <w:rsid w:val="00A66F74"/>
    <w:rsid w:val="00A86A23"/>
    <w:rsid w:val="00A9732E"/>
    <w:rsid w:val="00AB1EF3"/>
    <w:rsid w:val="00AE7975"/>
    <w:rsid w:val="00B25C3B"/>
    <w:rsid w:val="00B27C9A"/>
    <w:rsid w:val="00B309A8"/>
    <w:rsid w:val="00B52F2E"/>
    <w:rsid w:val="00B54547"/>
    <w:rsid w:val="00B649D0"/>
    <w:rsid w:val="00B81F67"/>
    <w:rsid w:val="00B8257D"/>
    <w:rsid w:val="00B82AAE"/>
    <w:rsid w:val="00BB13FF"/>
    <w:rsid w:val="00BB6194"/>
    <w:rsid w:val="00BD1122"/>
    <w:rsid w:val="00BD6B11"/>
    <w:rsid w:val="00BF2123"/>
    <w:rsid w:val="00BF50E3"/>
    <w:rsid w:val="00C00F8C"/>
    <w:rsid w:val="00C17BEE"/>
    <w:rsid w:val="00C30A9C"/>
    <w:rsid w:val="00C44B9C"/>
    <w:rsid w:val="00C46719"/>
    <w:rsid w:val="00C52139"/>
    <w:rsid w:val="00C54D7E"/>
    <w:rsid w:val="00C612E6"/>
    <w:rsid w:val="00C67F81"/>
    <w:rsid w:val="00C84C0B"/>
    <w:rsid w:val="00C85FF4"/>
    <w:rsid w:val="00C921A2"/>
    <w:rsid w:val="00CA56AD"/>
    <w:rsid w:val="00CB1448"/>
    <w:rsid w:val="00CB490F"/>
    <w:rsid w:val="00CC0612"/>
    <w:rsid w:val="00CD3159"/>
    <w:rsid w:val="00CD4F4A"/>
    <w:rsid w:val="00CD66CE"/>
    <w:rsid w:val="00D020CB"/>
    <w:rsid w:val="00D0522E"/>
    <w:rsid w:val="00D24DA8"/>
    <w:rsid w:val="00D36739"/>
    <w:rsid w:val="00D4115E"/>
    <w:rsid w:val="00D41B29"/>
    <w:rsid w:val="00D61309"/>
    <w:rsid w:val="00D62695"/>
    <w:rsid w:val="00D77E57"/>
    <w:rsid w:val="00D81F9F"/>
    <w:rsid w:val="00DA3090"/>
    <w:rsid w:val="00DB531C"/>
    <w:rsid w:val="00DE201A"/>
    <w:rsid w:val="00DE432C"/>
    <w:rsid w:val="00DF3C07"/>
    <w:rsid w:val="00DF4951"/>
    <w:rsid w:val="00DF5290"/>
    <w:rsid w:val="00E020FD"/>
    <w:rsid w:val="00E0577F"/>
    <w:rsid w:val="00E1035E"/>
    <w:rsid w:val="00E11717"/>
    <w:rsid w:val="00E36458"/>
    <w:rsid w:val="00E70885"/>
    <w:rsid w:val="00E80BD4"/>
    <w:rsid w:val="00E830CB"/>
    <w:rsid w:val="00E83DD7"/>
    <w:rsid w:val="00E90D95"/>
    <w:rsid w:val="00E9591C"/>
    <w:rsid w:val="00EA26EC"/>
    <w:rsid w:val="00EB2D73"/>
    <w:rsid w:val="00EB6260"/>
    <w:rsid w:val="00EC334F"/>
    <w:rsid w:val="00EC6E68"/>
    <w:rsid w:val="00ED5549"/>
    <w:rsid w:val="00ED627A"/>
    <w:rsid w:val="00ED6974"/>
    <w:rsid w:val="00EE3DDF"/>
    <w:rsid w:val="00EE59F1"/>
    <w:rsid w:val="00EF6396"/>
    <w:rsid w:val="00EF6AE6"/>
    <w:rsid w:val="00F06B35"/>
    <w:rsid w:val="00F07FBA"/>
    <w:rsid w:val="00F37C03"/>
    <w:rsid w:val="00F4548A"/>
    <w:rsid w:val="00F53DEB"/>
    <w:rsid w:val="00FA7DE5"/>
    <w:rsid w:val="00FC4EF8"/>
    <w:rsid w:val="00FD0EE7"/>
    <w:rsid w:val="00FD50E0"/>
    <w:rsid w:val="00FD6D97"/>
    <w:rsid w:val="00FE3F42"/>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lang w:val="en-US"/>
    </w:rPr>
  </w:style>
  <w:style w:type="paragraph" w:customStyle="1" w:styleId="HeadlineGreen">
    <w:name w:val="Headline Green"/>
    <w:basedOn w:val="berschrift1"/>
    <w:next w:val="Standard"/>
    <w:link w:val="HeadlineGreenZchn"/>
    <w:qFormat/>
    <w:rsid w:val="00703F47"/>
    <w:rPr>
      <w:color w:val="B4C3AA"/>
      <w:lang w:val="en-US"/>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US"/>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DE432C"/>
    <w:rPr>
      <w:sz w:val="16"/>
      <w:szCs w:val="16"/>
    </w:rPr>
  </w:style>
  <w:style w:type="paragraph" w:styleId="Kommentartext">
    <w:name w:val="annotation text"/>
    <w:basedOn w:val="Standard"/>
    <w:link w:val="KommentartextZchn"/>
    <w:uiPriority w:val="99"/>
    <w:unhideWhenUsed/>
    <w:rsid w:val="00DE432C"/>
    <w:pPr>
      <w:spacing w:line="240" w:lineRule="auto"/>
    </w:pPr>
    <w:rPr>
      <w:sz w:val="20"/>
      <w:szCs w:val="20"/>
    </w:rPr>
  </w:style>
  <w:style w:type="character" w:customStyle="1" w:styleId="KommentartextZchn">
    <w:name w:val="Kommentartext Zchn"/>
    <w:basedOn w:val="Absatz-Standardschriftart"/>
    <w:link w:val="Kommentartext"/>
    <w:uiPriority w:val="99"/>
    <w:rsid w:val="00DE432C"/>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DE432C"/>
    <w:rPr>
      <w:b/>
      <w:bCs/>
    </w:rPr>
  </w:style>
  <w:style w:type="character" w:customStyle="1" w:styleId="KommentarthemaZchn">
    <w:name w:val="Kommentarthema Zchn"/>
    <w:basedOn w:val="KommentartextZchn"/>
    <w:link w:val="Kommentarthema"/>
    <w:uiPriority w:val="99"/>
    <w:semiHidden/>
    <w:rsid w:val="00DE432C"/>
    <w:rPr>
      <w:rFonts w:ascii="Noto Sans" w:hAnsi="Noto Sans"/>
      <w:b/>
      <w:bCs/>
      <w:sz w:val="20"/>
      <w:szCs w:val="20"/>
    </w:rPr>
  </w:style>
  <w:style w:type="paragraph" w:styleId="berarbeitung">
    <w:name w:val="Revision"/>
    <w:hidden/>
    <w:uiPriority w:val="99"/>
    <w:semiHidden/>
    <w:rsid w:val="002D4EDD"/>
    <w:pPr>
      <w:spacing w:after="0" w:line="240" w:lineRule="auto"/>
    </w:pPr>
    <w:rPr>
      <w:rFonts w:ascii="Noto Sans" w:hAnsi="Noto Sans"/>
    </w:rPr>
  </w:style>
  <w:style w:type="table" w:styleId="Tabellenraster">
    <w:name w:val="Table Grid"/>
    <w:basedOn w:val="NormaleTabelle"/>
    <w:uiPriority w:val="39"/>
    <w:rsid w:val="006C2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basedOn w:val="Absatz-Standardschriftart"/>
    <w:qFormat/>
    <w:rsid w:val="002F2BDF"/>
    <w:rPr>
      <w:b/>
      <w:bCs/>
    </w:rPr>
  </w:style>
  <w:style w:type="character" w:customStyle="1" w:styleId="ui-provider">
    <w:name w:val="ui-provider"/>
    <w:basedOn w:val="Absatz-Standardschriftart"/>
    <w:rsid w:val="00E36458"/>
  </w:style>
  <w:style w:type="paragraph" w:customStyle="1" w:styleId="pf0">
    <w:name w:val="pf0"/>
    <w:basedOn w:val="Standard"/>
    <w:rsid w:val="00E36458"/>
    <w:pPr>
      <w:spacing w:before="100" w:beforeAutospacing="1" w:after="100" w:afterAutospacing="1" w:line="240" w:lineRule="auto"/>
    </w:pPr>
    <w:rPr>
      <w:rFonts w:ascii="Times New Roman" w:eastAsia="Times New Roman" w:hAnsi="Times New Roman" w:cs="Times New Roman"/>
      <w:sz w:val="24"/>
      <w:szCs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4492194">
      <w:bodyDiv w:val="1"/>
      <w:marLeft w:val="0"/>
      <w:marRight w:val="0"/>
      <w:marTop w:val="0"/>
      <w:marBottom w:val="0"/>
      <w:divBdr>
        <w:top w:val="none" w:sz="0" w:space="0" w:color="auto"/>
        <w:left w:val="none" w:sz="0" w:space="0" w:color="auto"/>
        <w:bottom w:val="none" w:sz="0" w:space="0" w:color="auto"/>
        <w:right w:val="none" w:sz="0" w:space="0" w:color="auto"/>
      </w:divBdr>
    </w:div>
    <w:div w:id="586574801">
      <w:bodyDiv w:val="1"/>
      <w:marLeft w:val="0"/>
      <w:marRight w:val="0"/>
      <w:marTop w:val="0"/>
      <w:marBottom w:val="0"/>
      <w:divBdr>
        <w:top w:val="none" w:sz="0" w:space="0" w:color="auto"/>
        <w:left w:val="none" w:sz="0" w:space="0" w:color="auto"/>
        <w:bottom w:val="none" w:sz="0" w:space="0" w:color="auto"/>
        <w:right w:val="none" w:sz="0" w:space="0" w:color="auto"/>
      </w:divBdr>
    </w:div>
    <w:div w:id="794055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cancellation@fronius.com" TargetMode="External"/><Relationship Id="rId18" Type="http://schemas.openxmlformats.org/officeDocument/2006/relationships/customXml" Target="../customXml/item1.xml"/><Relationship Id="rId3" Type="http://schemas.openxmlformats.org/officeDocument/2006/relationships/settings" Target="settings.xml"/><Relationship Id="rId21" Type="http://schemas.openxmlformats.org/officeDocument/2006/relationships/customXml" Target="../customXml/item4.xml"/><Relationship Id="rId7" Type="http://schemas.openxmlformats.org/officeDocument/2006/relationships/image" Target="media/image1.png"/><Relationship Id="rId12" Type="http://schemas.openxmlformats.org/officeDocument/2006/relationships/hyperlink" Target="mailto:cancellation@fronius.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rke@a1kommunikation.de"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schwarz.fabian@fronius.com" TargetMode="Externa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 Id="rId22"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Fronius GEN24</title_TI_DE>
    <title_TI_NO xmlns="dc0c2c3d-e9fc-4a0d-820b-87ab82e65f20">Fronius GEN24</title_TI_NO>
    <Documenttype_PT xmlns="dc0c2c3d-e9fc-4a0d-820b-87ab82e65f20">Comunicado à imprensa</Documenttype_PT>
    <Documenttype_RU xmlns="dc0c2c3d-e9fc-4a0d-820b-87ab82e65f20">Пресс-релиз</Documenttype_RU>
    <title_TI_TR xmlns="dc0c2c3d-e9fc-4a0d-820b-87ab82e65f20">Fronius GEN24</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Fronius GEN24</title_TI_TH>
    <Licence_x0020_information xmlns="dc0c2c3d-e9fc-4a0d-820b-87ab82e65f20">(c) Fronius International</Licence_x0020_information>
    <title_TI_EA xmlns="dc0c2c3d-e9fc-4a0d-820b-87ab82e65f20">Fronius GEN24</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#DE</TermName>
          <TermId xmlns="http://schemas.microsoft.com/office/infopath/2007/PartnerControls">676160ea-61f7-4cef-8b4c-1724dec2206e</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Fronius GEN24</title_TI_DA>
    <Documenttype_TR xmlns="dc0c2c3d-e9fc-4a0d-820b-87ab82e65f20">Basın bülteni</Documenttype_TR>
    <title_TI_PL xmlns="dc0c2c3d-e9fc-4a0d-820b-87ab82e65f20">Fronius GEN24</title_TI_PL>
    <Documenttype_TH xmlns="dc0c2c3d-e9fc-4a0d-820b-87ab82e65f20">ข่าวประชาสัมพันธ์</Documenttype_TH>
    <title_TI_EL xmlns="dc0c2c3d-e9fc-4a0d-820b-87ab82e65f20">Fronius GEN24</title_TI_EL>
    <Documenttype_EA xmlns="dc0c2c3d-e9fc-4a0d-820b-87ab82e65f20">Press Release</Documenttype_EA>
    <Web_x0020_Display_x0020_Title_x0020_ET xmlns="dc0c2c3d-e9fc-4a0d-820b-87ab82e65f20">Fronius GEN24</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Fronius GEN24</title_TI_FR>
    <Documenttype_EN xmlns="dc0c2c3d-e9fc-4a0d-820b-87ab82e65f20">Press Release</Documenttype_EN>
    <Documenttype_ES xmlns="dc0c2c3d-e9fc-4a0d-820b-87ab82e65f20">Información de prensa</Documenttype_ES>
    <title_TI_CN xmlns="dc0c2c3d-e9fc-4a0d-820b-87ab82e65f20" xsi:nil="true"/>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Fronius GEN24</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C-153063</FileMaster>
    <title_TI_NL xmlns="dc0c2c3d-e9fc-4a0d-820b-87ab82e65f20">Fronius GEN24</title_TI_NL>
    <contentservId xmlns="c4543867-fb67-4424-a255-4d54d75e50e3">C-153063</contentservId>
    <title_TI_IT xmlns="dc0c2c3d-e9fc-4a0d-820b-87ab82e65f20">Fronius GEN24</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Fronius GEN24</title_TI_UA>
    <title_TI_JP xmlns="dc0c2c3d-e9fc-4a0d-820b-87ab82e65f20">Fronius GEN24</title_TI_JP>
    <Documenttype_NL xmlns="dc0c2c3d-e9fc-4a0d-820b-87ab82e65f20">Persbericht</Documenttype_NL>
    <title_TI_RO xmlns="dc0c2c3d-e9fc-4a0d-820b-87ab82e65f20">Fronius GEN24</title_TI_RO>
    <Documenttype_NB xmlns="c4543867-fb67-4424-a255-4d54d75e50e3">Presseinformasjon</Documenttype_NB>
    <title_ti_nb xmlns="dc0c2c3d-e9fc-4a0d-820b-87ab82e65f20" xsi:nil="true"/>
    <title_TI_ES xmlns="dc0c2c3d-e9fc-4a0d-820b-87ab82e65f20">Fronius GEN24</title_TI_ES>
    <title_TI_JA xmlns="dc0c2c3d-e9fc-4a0d-820b-87ab82e65f20">Fronius GEN24</title_TI_JA>
    <Documenttype_IT xmlns="dc0c2c3d-e9fc-4a0d-820b-87ab82e65f20">Comunicato stampa</Documenttype_IT>
    <Documenttype_ZH xmlns="dc0c2c3d-e9fc-4a0d-820b-87ab82e65f20">Press Release</Documenttype_ZH>
    <TaxCatchAll xmlns="92f60987-cbcc-4245-baaf-239af3bfd6e8">
      <Value>251</Value>
      <Value>1</Value>
    </TaxCatchAll>
    <AGB xmlns="dc0c2c3d-e9fc-4a0d-820b-87ab82e65f20">false</AGB>
    <title_TI_EN xmlns="dc0c2c3d-e9fc-4a0d-820b-87ab82e65f20">Fronius GEN24</title_TI_EN>
    <MRMKeyWords xmlns="dc0c2c3d-e9fc-4a0d-820b-87ab82e65f20">#Presse#Presseaussendung#GEN24#GEN24 Plus#GEN24 Backup#press#press release#presse#presseaussendung#pressrelease#gen24#gen24plus#gen24backup#</MRMKeyWords>
    <title_ti_zh xmlns="dc0c2c3d-e9fc-4a0d-820b-87ab82e65f20">Fronius GEN24</title_ti_zh>
    <MRMID xmlns="dc0c2c3d-e9fc-4a0d-820b-87ab82e65f20">M-214781</MRMID>
    <Documenttype_UK xmlns="c4543867-fb67-4424-a255-4d54d75e50e3">Прес-релізи</Documenttype_UK>
    <title_TI_SK xmlns="dc0c2c3d-e9fc-4a0d-820b-87ab82e65f20">Fronius GEN24</title_TI_SK>
    <Documenttype_UA xmlns="dc0c2c3d-e9fc-4a0d-820b-87ab82e65f20">Прес-релізи</Documenttype_UA>
    <title_TI_HU xmlns="dc0c2c3d-e9fc-4a0d-820b-87ab82e65f20">Fronius GEN24</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Fronius GEN24</title_TI_PT>
    <title_ti_fi xmlns="dc0c2c3d-e9fc-4a0d-820b-87ab82e65f20">Fronius GEN24</title_ti_fi>
    <Country xmlns="dc0c2c3d-e9fc-4a0d-820b-87ab82e65f20">
      <Value>5</Value>
      <Value>40</Value>
      <Value>18</Value>
    </Country>
    <fro_spid xmlns="dc0c2c3d-e9fc-4a0d-820b-87ab82e65f20">9679;SE</fro_spid>
    <title_TI_RU xmlns="dc0c2c3d-e9fc-4a0d-820b-87ab82e65f20">Fronius GEN24</title_TI_RU>
    <Documenttype_JA xmlns="dc0c2c3d-e9fc-4a0d-820b-87ab82e65f20">ニュースリリース</Documenttype_JA>
    <Colour_x0020_space xmlns="dc0c2c3d-e9fc-4a0d-820b-87ab82e65f20" xsi:nil="true"/>
    <title_TI_CS xmlns="dc0c2c3d-e9fc-4a0d-820b-87ab82e65f20">Fronius GEN24</title_TI_CS>
    <title_TI_AR xmlns="dc0c2c3d-e9fc-4a0d-820b-87ab82e65f20">Fronius GEN24</title_TI_AR>
  </documentManagement>
</p:properties>
</file>

<file path=customXml/itemProps1.xml><?xml version="1.0" encoding="utf-8"?>
<ds:datastoreItem xmlns:ds="http://schemas.openxmlformats.org/officeDocument/2006/customXml" ds:itemID="{E5D58601-1AA5-4C82-8100-CAD57E42BF30}"/>
</file>

<file path=customXml/itemProps2.xml><?xml version="1.0" encoding="utf-8"?>
<ds:datastoreItem xmlns:ds="http://schemas.openxmlformats.org/officeDocument/2006/customXml" ds:itemID="{DB380224-263F-4E39-B49C-03DF7A7C3B48}"/>
</file>

<file path=customXml/itemProps3.xml><?xml version="1.0" encoding="utf-8"?>
<ds:datastoreItem xmlns:ds="http://schemas.openxmlformats.org/officeDocument/2006/customXml" ds:itemID="{44AF23FD-61A5-4714-98BF-B043BD9A6B5C}"/>
</file>

<file path=customXml/itemProps4.xml><?xml version="1.0" encoding="utf-8"?>
<ds:datastoreItem xmlns:ds="http://schemas.openxmlformats.org/officeDocument/2006/customXml" ds:itemID="{73BFE733-AE47-4C80-9DC5-1F0EDC94D0C2}"/>
</file>

<file path=customXml/itemProps5.xml><?xml version="1.0" encoding="utf-8"?>
<ds:datastoreItem xmlns:ds="http://schemas.openxmlformats.org/officeDocument/2006/customXml" ds:itemID="{5D970BD2-5648-4AFF-863E-5009E7832966}"/>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1038</Words>
  <Characters>6064</Characters>
  <Application>Microsoft Office Word</Application>
  <DocSecurity>0</DocSecurity>
  <Lines>134</Lines>
  <Paragraphs>33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SE_PR_Fronius_GEN24_DE</dc:title>
  <dc:subject/>
  <dc:creator>Kneringer Daniel</dc:creator>
  <cp:keywords/>
  <dc:description/>
  <cp:lastModifiedBy>Schwarz Fabian</cp:lastModifiedBy>
  <cp:revision>9</cp:revision>
  <cp:lastPrinted>2023-04-03T08:49:00Z</cp:lastPrinted>
  <dcterms:created xsi:type="dcterms:W3CDTF">2023-10-24T17:00:00Z</dcterms:created>
  <dcterms:modified xsi:type="dcterms:W3CDTF">2023-11-13T10:48:00Z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Service Levels TIM-RS">
    <vt:lpwstr/>
  </property>
  <property fmtid="{D5CDD505-2E9C-101B-9397-08002B2CF9AE}" pid="6" name="Products">
    <vt:lpwstr/>
  </property>
  <property fmtid="{D5CDD505-2E9C-101B-9397-08002B2CF9AE}" pid="7" name="fro_PartnerRoles">
    <vt:lpwstr/>
  </property>
  <property fmtid="{D5CDD505-2E9C-101B-9397-08002B2CF9AE}" pid="8" name="Language">
    <vt:lpwstr>251;##DE|676160ea-61f7-4cef-8b4c-1724dec2206e</vt:lpwstr>
  </property>
  <property fmtid="{D5CDD505-2E9C-101B-9397-08002B2CF9AE}" pid="9" name="FroConDoc_language">
    <vt:lpwstr>1;#DE|676160ea-61f7-4cef-8b4c-1724dec2206e</vt:lpwstr>
  </property>
</Properties>
</file>