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70FE0C6" w14:textId="77777777" w:rsidR="002E518C" w:rsidRPr="00E77C7C" w:rsidRDefault="002E518C" w:rsidP="002E518C"/>
    <w:p w14:paraId="272EC69A" w14:textId="77777777" w:rsidR="002E518C" w:rsidRPr="00E77C7C" w:rsidRDefault="002E518C" w:rsidP="002E518C">
      <w:pPr>
        <w:rPr>
          <w:color w:val="C00000"/>
          <w:sz w:val="36"/>
          <w:szCs w:val="36"/>
        </w:rPr>
      </w:pPr>
      <w:r w:rsidRPr="00E77C7C">
        <w:rPr>
          <w:color w:val="C00000"/>
          <w:sz w:val="36"/>
        </w:rPr>
        <w:t>Press release</w:t>
      </w:r>
    </w:p>
    <w:p w14:paraId="4885BE0A" w14:textId="77777777" w:rsidR="002E518C" w:rsidRPr="00E77C7C" w:rsidRDefault="002E518C" w:rsidP="002E518C">
      <w:r w:rsidRPr="00E77C7C">
        <w:t>Solar Energy</w:t>
      </w:r>
    </w:p>
    <w:p w14:paraId="4DD85309" w14:textId="77777777" w:rsidR="002E518C" w:rsidRPr="00E77C7C" w:rsidRDefault="002E518C" w:rsidP="002E518C"/>
    <w:p w14:paraId="7EF64C18" w14:textId="77777777" w:rsidR="002E518C" w:rsidRPr="00E77C7C" w:rsidRDefault="002E518C" w:rsidP="002E518C">
      <w:pPr>
        <w:rPr>
          <w:b/>
        </w:rPr>
      </w:pPr>
      <w:r w:rsidRPr="00E77C7C">
        <w:rPr>
          <w:b/>
        </w:rPr>
        <w:t>Energy Storage Inspection 2024</w:t>
      </w:r>
    </w:p>
    <w:p w14:paraId="49D22E07" w14:textId="77777777" w:rsidR="002E518C" w:rsidRPr="00E77C7C" w:rsidRDefault="002E518C" w:rsidP="002E518C">
      <w:pPr>
        <w:rPr>
          <w:b/>
          <w:sz w:val="32"/>
          <w:szCs w:val="32"/>
        </w:rPr>
      </w:pPr>
      <w:r w:rsidRPr="00E77C7C">
        <w:rPr>
          <w:b/>
          <w:sz w:val="32"/>
        </w:rPr>
        <w:t>Fronius achieves top rankings for the fifth time</w:t>
      </w:r>
    </w:p>
    <w:p w14:paraId="1F3C9F62" w14:textId="77777777" w:rsidR="002E518C" w:rsidRPr="00E77C7C" w:rsidRDefault="002E518C" w:rsidP="002E518C"/>
    <w:p w14:paraId="73BB2819" w14:textId="703495AE" w:rsidR="002E518C" w:rsidRPr="00E77C7C" w:rsidRDefault="002E518C" w:rsidP="002E518C">
      <w:r w:rsidRPr="00E77C7C">
        <w:t xml:space="preserve">(Wels, </w:t>
      </w:r>
      <w:r w:rsidR="00860C51">
        <w:t>March 14, 2024</w:t>
      </w:r>
      <w:r w:rsidRPr="00E77C7C">
        <w:t xml:space="preserve">). Fronius achieved top rankings for the fifth time in a row at this year’s Energy Storage Inspection by Berlin University of Applied Sciences (HTW). The </w:t>
      </w:r>
      <w:r w:rsidRPr="00E77C7C">
        <w:rPr>
          <w:b/>
        </w:rPr>
        <w:t>Fronius Primo GEN24 6.0 Plus</w:t>
      </w:r>
      <w:r w:rsidRPr="00E77C7C">
        <w:t xml:space="preserve"> with the </w:t>
      </w:r>
      <w:r w:rsidRPr="00E77C7C">
        <w:rPr>
          <w:b/>
        </w:rPr>
        <w:t xml:space="preserve">BYD Battery-Box Premium HVS 7.7 </w:t>
      </w:r>
      <w:r w:rsidRPr="00E77C7C">
        <w:t xml:space="preserve">and the </w:t>
      </w:r>
      <w:r w:rsidRPr="00E77C7C">
        <w:rPr>
          <w:b/>
        </w:rPr>
        <w:t>Fronius Symo GEN24 10.0 Plus</w:t>
      </w:r>
      <w:r w:rsidRPr="00E77C7C">
        <w:t xml:space="preserve"> with the </w:t>
      </w:r>
      <w:r w:rsidRPr="00E77C7C">
        <w:rPr>
          <w:b/>
        </w:rPr>
        <w:t>BYD Battery-Box Premium HVS 10.2</w:t>
      </w:r>
      <w:r w:rsidRPr="00E77C7C">
        <w:t xml:space="preserve"> impressed the judges thanks to their high system efficiency.</w:t>
      </w:r>
    </w:p>
    <w:p w14:paraId="6DFE3B71" w14:textId="6A16DF3C" w:rsidR="002E518C" w:rsidRPr="00E77C7C" w:rsidRDefault="002E518C" w:rsidP="002E518C">
      <w:r w:rsidRPr="00E77C7C">
        <w:t>Each year, as part of the Energy Storage Inspection run by Berlin University of Applied Sciences, independent testing institutes test the overall efficiency of storage systems and analyse the interaction of hybrid inverters and battery storage systems. Two different reference cases are used for the assessment. The first of these analyses the SPI (System Performance Index) for a 5 kW photovoltaic system with an annual household consumption of 5,010 kWh/a. Here, the Fronius Primo GEN24 6.0 Plus, together with the BYD Battery-Box Premium HVS 7.7, achieved an SPI of 92.6%. The second reference case combines a 10 kW photovoltaic system with a heat pump (2,664 kWh/a), electric vehicle (1,690 kWh/a), and an annual household consumption of 5,010 kWh/a. The Fronius Symo GEN24 10.0 Plus and the BYD Battery-Box Premium HVS 10.2 achieved an SPI of 95.4%.</w:t>
      </w:r>
    </w:p>
    <w:p w14:paraId="1DB8DCB5" w14:textId="7F35A3E0" w:rsidR="00891667" w:rsidRPr="00E77C7C" w:rsidRDefault="00891667" w:rsidP="002E518C">
      <w:pPr>
        <w:rPr>
          <w:b/>
        </w:rPr>
      </w:pPr>
      <w:r w:rsidRPr="00E77C7C">
        <w:rPr>
          <w:b/>
        </w:rPr>
        <w:t>Independent quality indicator</w:t>
      </w:r>
    </w:p>
    <w:p w14:paraId="4D3B61B3" w14:textId="4E73B9B3" w:rsidR="002E518C" w:rsidRPr="00E77C7C" w:rsidRDefault="002E518C" w:rsidP="002E518C">
      <w:r w:rsidRPr="00E77C7C">
        <w:t>“</w:t>
      </w:r>
      <w:r w:rsidRPr="00E77C7C">
        <w:rPr>
          <w:i/>
        </w:rPr>
        <w:t>Every year, the Energy Storage Inspection by Berlin University of Applied Sciences is an important indicator for us and our customers. Through independent testing, it is evident that the combination of our hybrid inverter Fronius GEN24 Plus and the BYD Battery-Box Premium offers a highly efficient storage solution. This brings us one step closer to our goal of 24 hours of sun and a world with 100% renewable energy</w:t>
      </w:r>
      <w:r w:rsidRPr="00E77C7C">
        <w:t>,” says Martin Hackl, Global Director Business Unit Solar Energy, Fronius International GmbH proudly.</w:t>
      </w:r>
    </w:p>
    <w:p w14:paraId="7A1FEF68" w14:textId="77777777" w:rsidR="002E518C" w:rsidRPr="00E77C7C" w:rsidRDefault="002E518C" w:rsidP="002E518C">
      <w:pPr>
        <w:rPr>
          <w:b/>
        </w:rPr>
      </w:pPr>
      <w:r w:rsidRPr="00E77C7C">
        <w:rPr>
          <w:b/>
        </w:rPr>
        <w:t>Multi flow technology: efficient and flexible</w:t>
      </w:r>
    </w:p>
    <w:p w14:paraId="363071C0" w14:textId="30646D14" w:rsidR="002E518C" w:rsidRPr="00E77C7C" w:rsidRDefault="002E518C" w:rsidP="002E518C">
      <w:r w:rsidRPr="00E77C7C">
        <w:t xml:space="preserve">In both reference cases, the Fronius inverters and BYD batteries are technically impressive across the board, both individually and combined. Fronius Multi Flow Technology enables the battery to be charged and loads in the household to be supplied from the PV system at the same time, even when running on backup power. </w:t>
      </w:r>
      <w:r w:rsidRPr="00E77C7C">
        <w:lastRenderedPageBreak/>
        <w:t>Together, the two components are particularly impressive in terms of system efficiency, as well as high charging and discharging capacity.</w:t>
      </w:r>
    </w:p>
    <w:p w14:paraId="10B8D066" w14:textId="77777777" w:rsidR="002E518C" w:rsidRPr="00E77C7C" w:rsidRDefault="002E518C" w:rsidP="002E518C"/>
    <w:p w14:paraId="1D1F9659" w14:textId="4F0A48A2" w:rsidR="002E518C" w:rsidRPr="00E77C7C" w:rsidRDefault="002E518C" w:rsidP="002E518C">
      <w:r w:rsidRPr="00E77C7C">
        <w:t xml:space="preserve">Words: </w:t>
      </w:r>
      <w:r w:rsidR="0037399A">
        <w:t>359</w:t>
      </w:r>
    </w:p>
    <w:p w14:paraId="5FD79E23" w14:textId="5C23E5A2" w:rsidR="002E518C" w:rsidRPr="00E77C7C" w:rsidRDefault="002E518C" w:rsidP="002E518C">
      <w:r w:rsidRPr="00E77C7C">
        <w:t xml:space="preserve">Characters: </w:t>
      </w:r>
      <w:r w:rsidR="0037399A">
        <w:t>2.265</w:t>
      </w:r>
      <w:r w:rsidRPr="00E77C7C">
        <w:t xml:space="preserve"> (including spaces)</w:t>
      </w:r>
    </w:p>
    <w:p w14:paraId="6DDA7B54" w14:textId="77777777" w:rsidR="002E518C" w:rsidRPr="00E77C7C" w:rsidRDefault="002E518C" w:rsidP="002E518C">
      <w:pPr>
        <w:rPr>
          <w:rFonts w:eastAsiaTheme="majorEastAsia" w:cstheme="majorBidi"/>
          <w:b/>
          <w:iCs/>
          <w:color w:val="000000" w:themeColor="text1"/>
        </w:rPr>
      </w:pPr>
      <w:r w:rsidRPr="00E77C7C">
        <w:br/>
      </w:r>
      <w:r w:rsidRPr="00E77C7C">
        <w:rPr>
          <w:b/>
        </w:rPr>
        <w:t>Images</w:t>
      </w:r>
    </w:p>
    <w:p w14:paraId="71BA44D1" w14:textId="7D434833" w:rsidR="002E518C" w:rsidRPr="00E77C7C" w:rsidRDefault="002E518C" w:rsidP="002E518C">
      <w:pPr>
        <w:jc w:val="both"/>
        <w:rPr>
          <w:i/>
          <w:iCs/>
          <w:sz w:val="18"/>
          <w:szCs w:val="18"/>
        </w:rPr>
      </w:pPr>
      <w:r w:rsidRPr="00E77C7C">
        <w:rPr>
          <w:i/>
          <w:sz w:val="18"/>
        </w:rPr>
        <w:t>Photo credits: Fronius International GmbH, reproduction free of charge</w:t>
      </w:r>
    </w:p>
    <w:tbl>
      <w:tblPr>
        <w:tblStyle w:val="Tabellenraster"/>
        <w:tblW w:w="0" w:type="auto"/>
        <w:tblLook w:val="04A0" w:firstRow="1" w:lastRow="0" w:firstColumn="1" w:lastColumn="0" w:noHBand="0" w:noVBand="1"/>
      </w:tblPr>
      <w:tblGrid>
        <w:gridCol w:w="4531"/>
        <w:gridCol w:w="4531"/>
      </w:tblGrid>
      <w:tr w:rsidR="00353BA0" w:rsidRPr="00E77C7C" w14:paraId="6F599FE1" w14:textId="77777777" w:rsidTr="00353BA0">
        <w:tc>
          <w:tcPr>
            <w:tcW w:w="4531" w:type="dxa"/>
          </w:tcPr>
          <w:p w14:paraId="0783E36F" w14:textId="1C46E358" w:rsidR="00353BA0" w:rsidRPr="00E77C7C" w:rsidRDefault="00353BA0" w:rsidP="002E518C">
            <w:pPr>
              <w:jc w:val="both"/>
              <w:rPr>
                <w:i/>
                <w:iCs/>
                <w:sz w:val="18"/>
                <w:szCs w:val="18"/>
              </w:rPr>
            </w:pPr>
            <w:r w:rsidRPr="00E77C7C">
              <w:rPr>
                <w:noProof/>
              </w:rPr>
              <w:drawing>
                <wp:inline distT="0" distB="0" distL="0" distR="0" wp14:anchorId="668C5C9E" wp14:editId="31C9F556">
                  <wp:extent cx="2663053" cy="1927886"/>
                  <wp:effectExtent l="0" t="0" r="4445" b="0"/>
                  <wp:docPr id="388959489"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8959489" name=""/>
                          <pic:cNvPicPr/>
                        </pic:nvPicPr>
                        <pic:blipFill>
                          <a:blip r:embed="rId7"/>
                          <a:stretch>
                            <a:fillRect/>
                          </a:stretch>
                        </pic:blipFill>
                        <pic:spPr>
                          <a:xfrm>
                            <a:off x="0" y="0"/>
                            <a:ext cx="2673669" cy="1935571"/>
                          </a:xfrm>
                          <a:prstGeom prst="rect">
                            <a:avLst/>
                          </a:prstGeom>
                        </pic:spPr>
                      </pic:pic>
                    </a:graphicData>
                  </a:graphic>
                </wp:inline>
              </w:drawing>
            </w:r>
          </w:p>
        </w:tc>
        <w:tc>
          <w:tcPr>
            <w:tcW w:w="4531" w:type="dxa"/>
          </w:tcPr>
          <w:p w14:paraId="44A52E17" w14:textId="77777777" w:rsidR="00353BA0" w:rsidRPr="00E77C7C" w:rsidRDefault="00353BA0" w:rsidP="00353BA0">
            <w:pPr>
              <w:jc w:val="both"/>
              <w:rPr>
                <w:sz w:val="18"/>
                <w:szCs w:val="18"/>
              </w:rPr>
            </w:pPr>
            <w:r w:rsidRPr="00E77C7C">
              <w:rPr>
                <w:sz w:val="18"/>
              </w:rPr>
              <w:t xml:space="preserve">The high system efficiency means a faster ROI. </w:t>
            </w:r>
          </w:p>
          <w:p w14:paraId="69B8BDE3" w14:textId="77777777" w:rsidR="00353BA0" w:rsidRPr="00107C84" w:rsidRDefault="00353BA0" w:rsidP="002E518C">
            <w:pPr>
              <w:jc w:val="both"/>
              <w:rPr>
                <w:i/>
                <w:iCs/>
                <w:sz w:val="18"/>
                <w:szCs w:val="18"/>
                <w:lang w:val="en-US"/>
              </w:rPr>
            </w:pPr>
          </w:p>
        </w:tc>
      </w:tr>
      <w:tr w:rsidR="00353BA0" w:rsidRPr="00E77C7C" w14:paraId="5BB8525F" w14:textId="77777777" w:rsidTr="00353BA0">
        <w:tc>
          <w:tcPr>
            <w:tcW w:w="4531" w:type="dxa"/>
          </w:tcPr>
          <w:p w14:paraId="4104CC4A" w14:textId="77777777" w:rsidR="00353BA0" w:rsidRPr="00E77C7C" w:rsidRDefault="00353BA0" w:rsidP="00353BA0">
            <w:pPr>
              <w:jc w:val="both"/>
              <w:rPr>
                <w:i/>
                <w:iCs/>
                <w:sz w:val="18"/>
                <w:szCs w:val="18"/>
              </w:rPr>
            </w:pPr>
            <w:r w:rsidRPr="00E77C7C">
              <w:rPr>
                <w:noProof/>
              </w:rPr>
              <w:drawing>
                <wp:inline distT="0" distB="0" distL="0" distR="0" wp14:anchorId="607AA27D" wp14:editId="181C7DFE">
                  <wp:extent cx="2658745" cy="1495425"/>
                  <wp:effectExtent l="0" t="0" r="8255" b="9525"/>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658745" cy="1495425"/>
                          </a:xfrm>
                          <a:prstGeom prst="rect">
                            <a:avLst/>
                          </a:prstGeom>
                          <a:noFill/>
                          <a:ln>
                            <a:noFill/>
                          </a:ln>
                        </pic:spPr>
                      </pic:pic>
                    </a:graphicData>
                  </a:graphic>
                </wp:inline>
              </w:drawing>
            </w:r>
          </w:p>
          <w:p w14:paraId="5C576296" w14:textId="13F548AB" w:rsidR="00353BA0" w:rsidRPr="00E77C7C" w:rsidRDefault="00353BA0" w:rsidP="00353BA0">
            <w:pPr>
              <w:jc w:val="both"/>
              <w:rPr>
                <w:i/>
                <w:iCs/>
                <w:sz w:val="18"/>
                <w:szCs w:val="18"/>
                <w:lang w:val="de-DE"/>
              </w:rPr>
            </w:pPr>
          </w:p>
        </w:tc>
        <w:tc>
          <w:tcPr>
            <w:tcW w:w="4531" w:type="dxa"/>
          </w:tcPr>
          <w:p w14:paraId="6668FD63" w14:textId="77777777" w:rsidR="00353BA0" w:rsidRPr="00E77C7C" w:rsidRDefault="00353BA0" w:rsidP="00353BA0">
            <w:pPr>
              <w:jc w:val="both"/>
              <w:rPr>
                <w:sz w:val="16"/>
                <w:szCs w:val="16"/>
              </w:rPr>
            </w:pPr>
            <w:r w:rsidRPr="00E77C7C">
              <w:rPr>
                <w:sz w:val="16"/>
              </w:rPr>
              <w:t>Martin Hackl, Global Director of the Business Unit Solar Energy, Fronius International GmbH.</w:t>
            </w:r>
          </w:p>
          <w:p w14:paraId="1F6E0B68" w14:textId="77777777" w:rsidR="00353BA0" w:rsidRPr="00E77C7C" w:rsidRDefault="00353BA0" w:rsidP="002E518C">
            <w:pPr>
              <w:jc w:val="both"/>
              <w:rPr>
                <w:i/>
                <w:iCs/>
                <w:sz w:val="18"/>
                <w:szCs w:val="18"/>
                <w:lang w:val="en-US"/>
              </w:rPr>
            </w:pPr>
          </w:p>
        </w:tc>
      </w:tr>
    </w:tbl>
    <w:p w14:paraId="108AC2AC" w14:textId="7365CC06" w:rsidR="00C74DFA" w:rsidRPr="00107C84" w:rsidRDefault="00C74DFA" w:rsidP="002E518C">
      <w:pPr>
        <w:jc w:val="both"/>
        <w:rPr>
          <w:i/>
          <w:iCs/>
          <w:sz w:val="18"/>
          <w:szCs w:val="18"/>
          <w:lang w:val="en-US"/>
        </w:rPr>
      </w:pPr>
    </w:p>
    <w:p w14:paraId="7FFD009A" w14:textId="77777777" w:rsidR="00B903D8" w:rsidRPr="00107C84" w:rsidRDefault="00B903D8" w:rsidP="002E518C">
      <w:pPr>
        <w:rPr>
          <w:rFonts w:eastAsiaTheme="majorEastAsia" w:cstheme="majorBidi"/>
          <w:iCs/>
          <w:color w:val="000000" w:themeColor="text1"/>
          <w:sz w:val="20"/>
          <w:szCs w:val="20"/>
          <w:highlight w:val="yellow"/>
          <w:u w:val="single"/>
          <w:lang w:val="en-US"/>
        </w:rPr>
      </w:pPr>
    </w:p>
    <w:p w14:paraId="069921AE" w14:textId="77777777" w:rsidR="00860C51" w:rsidRPr="005969D2" w:rsidRDefault="00860C51" w:rsidP="00860C51">
      <w:pPr>
        <w:rPr>
          <w:b/>
          <w:lang w:val="en-US"/>
        </w:rPr>
      </w:pPr>
      <w:r w:rsidRPr="005969D2">
        <w:rPr>
          <w:b/>
          <w:lang w:val="en-US"/>
        </w:rPr>
        <w:t>Business Unit Solar Energy</w:t>
      </w:r>
    </w:p>
    <w:p w14:paraId="3BADCCFA" w14:textId="77777777" w:rsidR="00860C51" w:rsidRDefault="00860C51" w:rsidP="00860C51">
      <w:pPr>
        <w:rPr>
          <w:lang w:val="en-US"/>
        </w:rPr>
      </w:pPr>
      <w:r>
        <w:rPr>
          <w:lang w:val="en-US"/>
        </w:rPr>
        <w:t>The Fronius Business Unit (BU) Solar Energy, which was founded in 1992, develops innovative solutions that generate, store, distribute and consume solar energy cost-efficiently and intelligently, all under the motto “energize your life”. Fronius Solar Energy makes it possible to use 24 hours of sun every day, paving the way for a future worth living in, in which renewable energies cover 100 percent of the world’s energy needs. Our solutions are sustainably developed and produced entirely in Europe – mainly in Austria. Fronius Solar Energy has 28 branches around the world and can point to a total output of more than 35 gigawatts of installed inverters to date. Sales are made via a global competence network of installation, service, and sales partners.</w:t>
      </w:r>
    </w:p>
    <w:p w14:paraId="159D7893" w14:textId="77777777" w:rsidR="00860C51" w:rsidRDefault="00860C51" w:rsidP="00860C51">
      <w:pPr>
        <w:rPr>
          <w:b/>
          <w:bCs/>
          <w:lang w:val="en-US"/>
        </w:rPr>
      </w:pPr>
      <w:bookmarkStart w:id="0" w:name="_Hlk107480427"/>
      <w:r>
        <w:rPr>
          <w:b/>
          <w:lang w:val="en-US"/>
        </w:rPr>
        <w:t>We are Fronius.</w:t>
      </w:r>
    </w:p>
    <w:bookmarkEnd w:id="0"/>
    <w:p w14:paraId="55276C81" w14:textId="77777777" w:rsidR="00860C51" w:rsidRDefault="00860C51" w:rsidP="00860C51">
      <w:pPr>
        <w:rPr>
          <w:lang w:val="en-US"/>
        </w:rPr>
      </w:pPr>
      <w:r>
        <w:rPr>
          <w:lang w:val="en-US"/>
        </w:rPr>
        <w:lastRenderedPageBreak/>
        <w:t>Over 8000 employees worldwide, a current export share of 89 percent, and 1366 active patents: that’s us, that’s Fronius. Founded in 1945 as a regional one-man operation, we are now a global player - a fact that is impressively demonstrated by our 37 international subsidiaries and our network of sales partners in more than 60 countries. And yet, at our core, we are still a family-owned company from Austria, active in photovoltaics, welding, and battery charging technology. We have always developed products and solutions for a future worth living, offering our customers an all-in-one package in the process: from advance planning and consulting to ongoing monitoring and a repair service tailored to their specific needs. We are innovative. We are curious. We are Fronius.</w:t>
      </w:r>
    </w:p>
    <w:p w14:paraId="647A672E" w14:textId="77777777" w:rsidR="00860C51" w:rsidRDefault="00860C51" w:rsidP="00860C51">
      <w:pPr>
        <w:rPr>
          <w:lang w:val="en-US"/>
        </w:rPr>
      </w:pPr>
    </w:p>
    <w:p w14:paraId="46D53324" w14:textId="77777777" w:rsidR="00860C51" w:rsidRPr="004B4FE9" w:rsidRDefault="00860C51" w:rsidP="00860C51">
      <w:pPr>
        <w:rPr>
          <w:u w:val="single"/>
          <w:lang w:val="en-US"/>
        </w:rPr>
      </w:pPr>
      <w:r w:rsidRPr="004B4FE9">
        <w:rPr>
          <w:u w:val="single"/>
          <w:lang w:val="en-US"/>
        </w:rPr>
        <w:t>Contact for further inquiries</w:t>
      </w:r>
    </w:p>
    <w:p w14:paraId="7C17C756" w14:textId="77777777" w:rsidR="00860C51" w:rsidRPr="00860C51" w:rsidRDefault="00860C51" w:rsidP="00860C51">
      <w:pPr>
        <w:rPr>
          <w:lang w:val="en-US"/>
        </w:rPr>
      </w:pPr>
      <w:r w:rsidRPr="00FA3DFC">
        <w:rPr>
          <w:lang w:val="en-US"/>
        </w:rPr>
        <w:t xml:space="preserve">Fronius International GmbH, Mag. </w:t>
      </w:r>
      <w:r w:rsidRPr="00860C51">
        <w:rPr>
          <w:lang w:val="en-US"/>
        </w:rPr>
        <w:t>Fabian SCHWARZ</w:t>
      </w:r>
      <w:r w:rsidRPr="00860C51">
        <w:rPr>
          <w:lang w:val="en-US"/>
        </w:rPr>
        <w:br/>
        <w:t xml:space="preserve">+43 664 88536765, </w:t>
      </w:r>
      <w:hyperlink r:id="rId9" w:history="1">
        <w:r w:rsidRPr="00860C51">
          <w:rPr>
            <w:rStyle w:val="Hyperlink"/>
            <w:sz w:val="20"/>
            <w:szCs w:val="20"/>
            <w:lang w:val="en-US"/>
          </w:rPr>
          <w:t>schwarz.fabian@fronius.com</w:t>
        </w:r>
      </w:hyperlink>
      <w:r w:rsidRPr="00860C51">
        <w:rPr>
          <w:lang w:val="en-US"/>
        </w:rPr>
        <w:t>,</w:t>
      </w:r>
      <w:r w:rsidRPr="00860C51">
        <w:rPr>
          <w:lang w:val="en-US"/>
        </w:rPr>
        <w:br/>
        <w:t>Froniusplatz 1, 4600 Wels, Austria</w:t>
      </w:r>
    </w:p>
    <w:p w14:paraId="37473796" w14:textId="77777777" w:rsidR="00860C51" w:rsidRDefault="00860C51" w:rsidP="00860C51">
      <w:pPr>
        <w:rPr>
          <w:lang w:val="en-US"/>
        </w:rPr>
      </w:pPr>
      <w:r>
        <w:rPr>
          <w:lang w:val="en-US"/>
        </w:rPr>
        <w:t xml:space="preserve">Natalie WOODFORD, +44 1908 512 301, </w:t>
      </w:r>
      <w:hyperlink r:id="rId10" w:history="1">
        <w:r>
          <w:rPr>
            <w:rStyle w:val="Hyperlink"/>
            <w:sz w:val="20"/>
            <w:szCs w:val="18"/>
            <w:lang w:val="en-US"/>
          </w:rPr>
          <w:t>woodford.natalie@fronius.com</w:t>
        </w:r>
      </w:hyperlink>
      <w:r>
        <w:rPr>
          <w:lang w:val="en-US"/>
        </w:rPr>
        <w:t>, Maidstone Road, Kingston, Milton Keynes, MK10 0BD, United Kingdom.</w:t>
      </w:r>
    </w:p>
    <w:p w14:paraId="422C4D62" w14:textId="77777777" w:rsidR="00860C51" w:rsidRDefault="00860C51" w:rsidP="00860C51">
      <w:pPr>
        <w:rPr>
          <w:lang w:val="en-US"/>
        </w:rPr>
      </w:pPr>
      <w:r>
        <w:rPr>
          <w:lang w:val="en-US"/>
        </w:rPr>
        <w:t xml:space="preserve">Kenny HO, +61 3 8340 2953, </w:t>
      </w:r>
      <w:hyperlink r:id="rId11" w:history="1">
        <w:r>
          <w:rPr>
            <w:rStyle w:val="Hyperlink"/>
            <w:sz w:val="20"/>
            <w:szCs w:val="20"/>
            <w:lang w:val="en-US"/>
          </w:rPr>
          <w:t>Ho.Kenny@fronius.com</w:t>
        </w:r>
      </w:hyperlink>
      <w:r>
        <w:rPr>
          <w:lang w:val="en-US"/>
        </w:rPr>
        <w:t>, 90-92 Lambeck Drive, Tullamarine VIC 3043, Australia.</w:t>
      </w:r>
    </w:p>
    <w:p w14:paraId="38A184EA" w14:textId="77777777" w:rsidR="00860C51" w:rsidRPr="00860C51" w:rsidRDefault="00860C51" w:rsidP="00860C51">
      <w:pPr>
        <w:rPr>
          <w:rStyle w:val="Hyperlink"/>
          <w:szCs w:val="20"/>
          <w:lang w:val="de-AT"/>
        </w:rPr>
      </w:pPr>
      <w:r w:rsidRPr="00860C51">
        <w:rPr>
          <w:color w:val="000000" w:themeColor="text1"/>
          <w:u w:val="single"/>
          <w:lang w:val="de-AT"/>
        </w:rPr>
        <w:t>Specimen copy</w:t>
      </w:r>
      <w:r w:rsidRPr="00860C51">
        <w:rPr>
          <w:color w:val="000000" w:themeColor="text1"/>
          <w:u w:val="single"/>
          <w:lang w:val="de-AT"/>
        </w:rPr>
        <w:br/>
      </w:r>
      <w:r w:rsidRPr="00860C51">
        <w:rPr>
          <w:lang w:val="de-AT"/>
        </w:rPr>
        <w:t>a1kommunikation Schweizer GmbH, Rüdiger KEMPA,</w:t>
      </w:r>
      <w:r w:rsidRPr="00860C51">
        <w:rPr>
          <w:lang w:val="de-AT"/>
        </w:rPr>
        <w:br/>
      </w:r>
      <w:hyperlink r:id="rId12" w:history="1">
        <w:r w:rsidRPr="00860C51">
          <w:rPr>
            <w:rStyle w:val="Hyperlink"/>
            <w:sz w:val="20"/>
            <w:lang w:val="de-AT"/>
          </w:rPr>
          <w:t>rke@a1kommunikation.de</w:t>
        </w:r>
      </w:hyperlink>
    </w:p>
    <w:p w14:paraId="2774D675" w14:textId="77777777" w:rsidR="00860C51" w:rsidRDefault="00860C51" w:rsidP="00860C51">
      <w:pPr>
        <w:rPr>
          <w:lang w:val="en-US"/>
        </w:rPr>
      </w:pPr>
      <w:r>
        <w:rPr>
          <w:lang w:val="en-US"/>
        </w:rPr>
        <w:t>Oberdorfstraße 31A, 70794 Filderstadt, Deutschland</w:t>
      </w:r>
    </w:p>
    <w:p w14:paraId="48540AFD" w14:textId="77777777" w:rsidR="00860C51" w:rsidRDefault="00860C51" w:rsidP="00860C51">
      <w:pPr>
        <w:rPr>
          <w:sz w:val="16"/>
          <w:szCs w:val="16"/>
          <w:lang w:val="en-US"/>
        </w:rPr>
      </w:pPr>
    </w:p>
    <w:p w14:paraId="47EF5EF6" w14:textId="733A7D60" w:rsidR="00BB13FF" w:rsidRPr="00860C51" w:rsidRDefault="00860C51" w:rsidP="00860C51">
      <w:pPr>
        <w:jc w:val="both"/>
        <w:rPr>
          <w:sz w:val="16"/>
          <w:szCs w:val="16"/>
          <w:lang w:val="en-US"/>
        </w:rPr>
      </w:pPr>
      <w:r>
        <w:rPr>
          <w:sz w:val="16"/>
          <w:lang w:val="en-US"/>
        </w:rPr>
        <w:t xml:space="preserve">If you no longer wish to receive press releases from Fronius International GmbH (Business Unit Solar Energy) please reply with UNSUBSCRIBE to the e-mail address </w:t>
      </w:r>
      <w:hyperlink r:id="rId13" w:history="1">
        <w:r>
          <w:rPr>
            <w:rStyle w:val="Hyperlink"/>
            <w:sz w:val="16"/>
            <w:lang w:val="en-US"/>
          </w:rPr>
          <w:t>cancellation@fronius.com</w:t>
        </w:r>
      </w:hyperlink>
      <w:r>
        <w:rPr>
          <w:sz w:val="16"/>
          <w:lang w:val="en-US"/>
        </w:rPr>
        <w:t>.</w:t>
      </w:r>
    </w:p>
    <w:sectPr w:rsidR="00BB13FF" w:rsidRPr="00860C51">
      <w:headerReference w:type="default" r:id="rId14"/>
      <w:footerReference w:type="default" r:id="rId15"/>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0B773D" w14:textId="77777777" w:rsidR="00410793" w:rsidRDefault="00410793" w:rsidP="00B54547">
      <w:pPr>
        <w:spacing w:after="0" w:line="240" w:lineRule="auto"/>
      </w:pPr>
      <w:r>
        <w:separator/>
      </w:r>
    </w:p>
  </w:endnote>
  <w:endnote w:type="continuationSeparator" w:id="0">
    <w:p w14:paraId="1DB0DCA9" w14:textId="77777777" w:rsidR="00410793" w:rsidRDefault="0041079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82FF" w:usb1="400078F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6523226"/>
      <w:docPartObj>
        <w:docPartGallery w:val="Page Numbers (Bottom of Page)"/>
        <w:docPartUnique/>
      </w:docPartObj>
    </w:sdtPr>
    <w:sdtEndPr/>
    <w:sdtContent>
      <w:p w14:paraId="3E1C5074" w14:textId="5C560680" w:rsidR="00546FF5" w:rsidRDefault="00546FF5">
        <w:pPr>
          <w:pStyle w:val="Fuzeile"/>
          <w:jc w:val="right"/>
        </w:pPr>
        <w:r>
          <w:fldChar w:fldCharType="begin"/>
        </w:r>
        <w:r>
          <w:instrText>PAGE   \* MERGEFORMAT</w:instrText>
        </w:r>
        <w:r>
          <w:fldChar w:fldCharType="separate"/>
        </w:r>
        <w:r>
          <w:t>2</w:t>
        </w:r>
        <w:r>
          <w:fldChar w:fldCharType="end"/>
        </w:r>
      </w:p>
    </w:sdtContent>
  </w:sdt>
  <w:p w14:paraId="142E754B" w14:textId="791F3AB6" w:rsidR="00B54547" w:rsidRDefault="00B54547">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D40EA5E" w14:textId="77777777" w:rsidR="00410793" w:rsidRDefault="00410793" w:rsidP="00B54547">
      <w:pPr>
        <w:spacing w:after="0" w:line="240" w:lineRule="auto"/>
      </w:pPr>
      <w:r>
        <w:separator/>
      </w:r>
    </w:p>
  </w:footnote>
  <w:footnote w:type="continuationSeparator" w:id="0">
    <w:p w14:paraId="0F9F3808" w14:textId="77777777" w:rsidR="00410793" w:rsidRDefault="0041079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Kopfzeile"/>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391739176">
    <w:abstractNumId w:val="7"/>
  </w:num>
  <w:num w:numId="2" w16cid:durableId="1010063324">
    <w:abstractNumId w:val="0"/>
  </w:num>
  <w:num w:numId="3" w16cid:durableId="638537139">
    <w:abstractNumId w:val="4"/>
  </w:num>
  <w:num w:numId="4" w16cid:durableId="69500382">
    <w:abstractNumId w:val="6"/>
  </w:num>
  <w:num w:numId="5" w16cid:durableId="169371200">
    <w:abstractNumId w:val="5"/>
  </w:num>
  <w:num w:numId="6" w16cid:durableId="1164475181">
    <w:abstractNumId w:val="1"/>
  </w:num>
  <w:num w:numId="7" w16cid:durableId="1103305690">
    <w:abstractNumId w:val="3"/>
  </w:num>
  <w:num w:numId="8" w16cid:durableId="110310754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ttachedTemplate r:id="rId1"/>
  <w:defaultTabStop w:val="708"/>
  <w:hyphenationZone w:val="425"/>
  <w:characterSpacingControl w:val="doNotCompress"/>
  <w:hdrShapeDefaults>
    <o:shapedefaults v:ext="edit" spidmax="1228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B94"/>
    <w:rsid w:val="0001297E"/>
    <w:rsid w:val="000223CE"/>
    <w:rsid w:val="000262E1"/>
    <w:rsid w:val="00030C3B"/>
    <w:rsid w:val="00050CA3"/>
    <w:rsid w:val="00064158"/>
    <w:rsid w:val="0007262C"/>
    <w:rsid w:val="00082E20"/>
    <w:rsid w:val="00086BA5"/>
    <w:rsid w:val="000A3045"/>
    <w:rsid w:val="000A37F9"/>
    <w:rsid w:val="000A3864"/>
    <w:rsid w:val="000B2252"/>
    <w:rsid w:val="000B4B17"/>
    <w:rsid w:val="000C153C"/>
    <w:rsid w:val="000C480A"/>
    <w:rsid w:val="000D0E88"/>
    <w:rsid w:val="000E1336"/>
    <w:rsid w:val="000E30D3"/>
    <w:rsid w:val="000E6CD8"/>
    <w:rsid w:val="000E6ED2"/>
    <w:rsid w:val="000F0A99"/>
    <w:rsid w:val="000F3232"/>
    <w:rsid w:val="00100E40"/>
    <w:rsid w:val="00102F0B"/>
    <w:rsid w:val="0010367F"/>
    <w:rsid w:val="00105E2F"/>
    <w:rsid w:val="00107C84"/>
    <w:rsid w:val="00124D5C"/>
    <w:rsid w:val="001273DB"/>
    <w:rsid w:val="001479CC"/>
    <w:rsid w:val="0015484D"/>
    <w:rsid w:val="00163975"/>
    <w:rsid w:val="001668E3"/>
    <w:rsid w:val="00196F99"/>
    <w:rsid w:val="001A34C4"/>
    <w:rsid w:val="001A43C2"/>
    <w:rsid w:val="001A4ABB"/>
    <w:rsid w:val="001B4713"/>
    <w:rsid w:val="001E40FF"/>
    <w:rsid w:val="00202B59"/>
    <w:rsid w:val="00202BA1"/>
    <w:rsid w:val="0020361A"/>
    <w:rsid w:val="00206AAB"/>
    <w:rsid w:val="00240E30"/>
    <w:rsid w:val="0024308B"/>
    <w:rsid w:val="00244059"/>
    <w:rsid w:val="00282219"/>
    <w:rsid w:val="002975A8"/>
    <w:rsid w:val="002C383B"/>
    <w:rsid w:val="002C6C08"/>
    <w:rsid w:val="002D4EDD"/>
    <w:rsid w:val="002D7A44"/>
    <w:rsid w:val="002E4785"/>
    <w:rsid w:val="002E518C"/>
    <w:rsid w:val="002E5511"/>
    <w:rsid w:val="002F207D"/>
    <w:rsid w:val="002F2BDF"/>
    <w:rsid w:val="003405C8"/>
    <w:rsid w:val="0034305C"/>
    <w:rsid w:val="0035105E"/>
    <w:rsid w:val="00353BA0"/>
    <w:rsid w:val="00367059"/>
    <w:rsid w:val="0037399A"/>
    <w:rsid w:val="00375987"/>
    <w:rsid w:val="00380901"/>
    <w:rsid w:val="00385E37"/>
    <w:rsid w:val="00387CE6"/>
    <w:rsid w:val="003D1173"/>
    <w:rsid w:val="003D5E1B"/>
    <w:rsid w:val="003E6855"/>
    <w:rsid w:val="003F7CBB"/>
    <w:rsid w:val="00400B6E"/>
    <w:rsid w:val="00403C78"/>
    <w:rsid w:val="00410793"/>
    <w:rsid w:val="00413468"/>
    <w:rsid w:val="00424297"/>
    <w:rsid w:val="00427121"/>
    <w:rsid w:val="004303CC"/>
    <w:rsid w:val="0044171E"/>
    <w:rsid w:val="004420B7"/>
    <w:rsid w:val="004448C8"/>
    <w:rsid w:val="004514C1"/>
    <w:rsid w:val="00451F65"/>
    <w:rsid w:val="00452C37"/>
    <w:rsid w:val="00455012"/>
    <w:rsid w:val="00457027"/>
    <w:rsid w:val="004630FE"/>
    <w:rsid w:val="00464C4A"/>
    <w:rsid w:val="00470A9D"/>
    <w:rsid w:val="00473B32"/>
    <w:rsid w:val="00477685"/>
    <w:rsid w:val="00477AA8"/>
    <w:rsid w:val="00486CF0"/>
    <w:rsid w:val="004933ED"/>
    <w:rsid w:val="004C41B9"/>
    <w:rsid w:val="004C5005"/>
    <w:rsid w:val="004C548E"/>
    <w:rsid w:val="004D2B47"/>
    <w:rsid w:val="004E4178"/>
    <w:rsid w:val="0050456D"/>
    <w:rsid w:val="0051114E"/>
    <w:rsid w:val="00512C4C"/>
    <w:rsid w:val="00520B9D"/>
    <w:rsid w:val="00531FE1"/>
    <w:rsid w:val="00534C53"/>
    <w:rsid w:val="00535B8C"/>
    <w:rsid w:val="00544C48"/>
    <w:rsid w:val="00546FF5"/>
    <w:rsid w:val="0055170B"/>
    <w:rsid w:val="00560B93"/>
    <w:rsid w:val="00576441"/>
    <w:rsid w:val="00580B8B"/>
    <w:rsid w:val="00582BF5"/>
    <w:rsid w:val="005A1F5E"/>
    <w:rsid w:val="005A26BF"/>
    <w:rsid w:val="005B2AA1"/>
    <w:rsid w:val="005C4594"/>
    <w:rsid w:val="005E64B3"/>
    <w:rsid w:val="00604BFB"/>
    <w:rsid w:val="00610CC6"/>
    <w:rsid w:val="006118F9"/>
    <w:rsid w:val="00651247"/>
    <w:rsid w:val="00661693"/>
    <w:rsid w:val="00670F02"/>
    <w:rsid w:val="006835B1"/>
    <w:rsid w:val="006874F0"/>
    <w:rsid w:val="00691B56"/>
    <w:rsid w:val="00694B2F"/>
    <w:rsid w:val="00695B7A"/>
    <w:rsid w:val="00696800"/>
    <w:rsid w:val="006A1A63"/>
    <w:rsid w:val="006C2F82"/>
    <w:rsid w:val="006D2AEF"/>
    <w:rsid w:val="006D6430"/>
    <w:rsid w:val="00703F47"/>
    <w:rsid w:val="00717144"/>
    <w:rsid w:val="00727D0D"/>
    <w:rsid w:val="00730C60"/>
    <w:rsid w:val="00732E84"/>
    <w:rsid w:val="007646D4"/>
    <w:rsid w:val="00765198"/>
    <w:rsid w:val="0077415F"/>
    <w:rsid w:val="00780E3D"/>
    <w:rsid w:val="0078525A"/>
    <w:rsid w:val="007A07DE"/>
    <w:rsid w:val="007A57E3"/>
    <w:rsid w:val="007A60A2"/>
    <w:rsid w:val="007C61B7"/>
    <w:rsid w:val="007E1AC0"/>
    <w:rsid w:val="00816914"/>
    <w:rsid w:val="00831633"/>
    <w:rsid w:val="008325FB"/>
    <w:rsid w:val="008404EE"/>
    <w:rsid w:val="00860C51"/>
    <w:rsid w:val="00861F4A"/>
    <w:rsid w:val="0086534F"/>
    <w:rsid w:val="008766C0"/>
    <w:rsid w:val="008837FA"/>
    <w:rsid w:val="00884DE1"/>
    <w:rsid w:val="00890C66"/>
    <w:rsid w:val="00891667"/>
    <w:rsid w:val="008931C0"/>
    <w:rsid w:val="008C20E2"/>
    <w:rsid w:val="008C5190"/>
    <w:rsid w:val="008D4C58"/>
    <w:rsid w:val="008D7983"/>
    <w:rsid w:val="008E1774"/>
    <w:rsid w:val="008F4ED5"/>
    <w:rsid w:val="00901E8B"/>
    <w:rsid w:val="00904B5D"/>
    <w:rsid w:val="00906151"/>
    <w:rsid w:val="00906679"/>
    <w:rsid w:val="009138B9"/>
    <w:rsid w:val="009319D8"/>
    <w:rsid w:val="00931AF5"/>
    <w:rsid w:val="0094020D"/>
    <w:rsid w:val="00947D95"/>
    <w:rsid w:val="00962B6D"/>
    <w:rsid w:val="00963BB4"/>
    <w:rsid w:val="00973A9B"/>
    <w:rsid w:val="00980B36"/>
    <w:rsid w:val="00980E44"/>
    <w:rsid w:val="009C0C00"/>
    <w:rsid w:val="009C1EA2"/>
    <w:rsid w:val="009C3A16"/>
    <w:rsid w:val="009C6149"/>
    <w:rsid w:val="009C734D"/>
    <w:rsid w:val="009D18F5"/>
    <w:rsid w:val="009D4084"/>
    <w:rsid w:val="009E3B18"/>
    <w:rsid w:val="00A1414D"/>
    <w:rsid w:val="00A33FA2"/>
    <w:rsid w:val="00A42FBA"/>
    <w:rsid w:val="00A5104A"/>
    <w:rsid w:val="00A65F08"/>
    <w:rsid w:val="00A66F74"/>
    <w:rsid w:val="00A86A23"/>
    <w:rsid w:val="00A9732E"/>
    <w:rsid w:val="00AB1EF3"/>
    <w:rsid w:val="00AC0C8E"/>
    <w:rsid w:val="00AE7975"/>
    <w:rsid w:val="00B17656"/>
    <w:rsid w:val="00B25C3B"/>
    <w:rsid w:val="00B27C9A"/>
    <w:rsid w:val="00B309A8"/>
    <w:rsid w:val="00B52F2E"/>
    <w:rsid w:val="00B54547"/>
    <w:rsid w:val="00B649D0"/>
    <w:rsid w:val="00B8020E"/>
    <w:rsid w:val="00B81F67"/>
    <w:rsid w:val="00B8257D"/>
    <w:rsid w:val="00B82AAE"/>
    <w:rsid w:val="00B903D8"/>
    <w:rsid w:val="00BA244F"/>
    <w:rsid w:val="00BB13FF"/>
    <w:rsid w:val="00BB3413"/>
    <w:rsid w:val="00BB6194"/>
    <w:rsid w:val="00BD1122"/>
    <w:rsid w:val="00BD611D"/>
    <w:rsid w:val="00BD6B11"/>
    <w:rsid w:val="00BF2123"/>
    <w:rsid w:val="00BF50E3"/>
    <w:rsid w:val="00C00F8C"/>
    <w:rsid w:val="00C17BEE"/>
    <w:rsid w:val="00C30A9C"/>
    <w:rsid w:val="00C44B9C"/>
    <w:rsid w:val="00C46719"/>
    <w:rsid w:val="00C52139"/>
    <w:rsid w:val="00C54D7E"/>
    <w:rsid w:val="00C612E6"/>
    <w:rsid w:val="00C67F81"/>
    <w:rsid w:val="00C74DFA"/>
    <w:rsid w:val="00C84C0B"/>
    <w:rsid w:val="00C85FF4"/>
    <w:rsid w:val="00C921A2"/>
    <w:rsid w:val="00CA2565"/>
    <w:rsid w:val="00CA56AD"/>
    <w:rsid w:val="00CB1448"/>
    <w:rsid w:val="00CB490F"/>
    <w:rsid w:val="00CC0612"/>
    <w:rsid w:val="00CD3159"/>
    <w:rsid w:val="00CD4F4A"/>
    <w:rsid w:val="00CD66CE"/>
    <w:rsid w:val="00D020CB"/>
    <w:rsid w:val="00D0522E"/>
    <w:rsid w:val="00D24DA8"/>
    <w:rsid w:val="00D30B80"/>
    <w:rsid w:val="00D36739"/>
    <w:rsid w:val="00D4115E"/>
    <w:rsid w:val="00D41B29"/>
    <w:rsid w:val="00D453E3"/>
    <w:rsid w:val="00D61309"/>
    <w:rsid w:val="00D62695"/>
    <w:rsid w:val="00D77E57"/>
    <w:rsid w:val="00D81F9F"/>
    <w:rsid w:val="00D866AA"/>
    <w:rsid w:val="00DA3090"/>
    <w:rsid w:val="00DB531C"/>
    <w:rsid w:val="00DC0AD7"/>
    <w:rsid w:val="00DC1B71"/>
    <w:rsid w:val="00DE201A"/>
    <w:rsid w:val="00DE432C"/>
    <w:rsid w:val="00DF3C07"/>
    <w:rsid w:val="00DF4951"/>
    <w:rsid w:val="00DF4ADB"/>
    <w:rsid w:val="00DF5290"/>
    <w:rsid w:val="00E013CC"/>
    <w:rsid w:val="00E020FD"/>
    <w:rsid w:val="00E0577F"/>
    <w:rsid w:val="00E1035E"/>
    <w:rsid w:val="00E11717"/>
    <w:rsid w:val="00E36458"/>
    <w:rsid w:val="00E67CF6"/>
    <w:rsid w:val="00E70885"/>
    <w:rsid w:val="00E77C7C"/>
    <w:rsid w:val="00E80BD4"/>
    <w:rsid w:val="00E830CB"/>
    <w:rsid w:val="00E83DD7"/>
    <w:rsid w:val="00E90D95"/>
    <w:rsid w:val="00E92879"/>
    <w:rsid w:val="00E9591C"/>
    <w:rsid w:val="00EA26EC"/>
    <w:rsid w:val="00EB2D73"/>
    <w:rsid w:val="00EB6260"/>
    <w:rsid w:val="00EC334F"/>
    <w:rsid w:val="00EC6E68"/>
    <w:rsid w:val="00ED5549"/>
    <w:rsid w:val="00ED627A"/>
    <w:rsid w:val="00ED6974"/>
    <w:rsid w:val="00EE3DDF"/>
    <w:rsid w:val="00EE59F1"/>
    <w:rsid w:val="00EF6396"/>
    <w:rsid w:val="00EF6AE6"/>
    <w:rsid w:val="00F06B35"/>
    <w:rsid w:val="00F07FBA"/>
    <w:rsid w:val="00F37C03"/>
    <w:rsid w:val="00F4548A"/>
    <w:rsid w:val="00F53DEB"/>
    <w:rsid w:val="00F86808"/>
    <w:rsid w:val="00F928EE"/>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E518C"/>
    <w:rPr>
      <w:rFonts w:ascii="Noto Sans" w:hAnsi="Noto Sans"/>
    </w:rPr>
  </w:style>
  <w:style w:type="paragraph" w:styleId="berschrift1">
    <w:name w:val="heading 1"/>
    <w:basedOn w:val="Standard"/>
    <w:next w:val="Standard"/>
    <w:link w:val="berschrift1Zchn"/>
    <w:uiPriority w:val="9"/>
    <w:qFormat/>
    <w:rsid w:val="002D7A44"/>
    <w:pPr>
      <w:keepNext/>
      <w:keepLines/>
      <w:spacing w:before="240" w:after="0"/>
      <w:outlineLvl w:val="0"/>
    </w:pPr>
    <w:rPr>
      <w:rFonts w:eastAsiaTheme="majorEastAsia" w:cstheme="majorBidi"/>
      <w:color w:val="D73237"/>
      <w:sz w:val="36"/>
      <w:szCs w:val="32"/>
    </w:rPr>
  </w:style>
  <w:style w:type="paragraph" w:styleId="berschrift2">
    <w:name w:val="heading 2"/>
    <w:basedOn w:val="Standard"/>
    <w:next w:val="Standard"/>
    <w:link w:val="berschrift2Zchn"/>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berschrift3">
    <w:name w:val="heading 3"/>
    <w:basedOn w:val="Standard"/>
    <w:next w:val="Standard"/>
    <w:link w:val="berschrift3Zchn"/>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berschrift4">
    <w:name w:val="heading 4"/>
    <w:basedOn w:val="Standard"/>
    <w:next w:val="Standard"/>
    <w:link w:val="berschrift4Zchn"/>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2D7A44"/>
    <w:pPr>
      <w:spacing w:after="0" w:line="240" w:lineRule="auto"/>
    </w:pPr>
    <w:rPr>
      <w:rFonts w:ascii="Noto Sans" w:hAnsi="Noto Sans"/>
    </w:rPr>
  </w:style>
  <w:style w:type="paragraph" w:styleId="Titel">
    <w:name w:val="Title"/>
    <w:basedOn w:val="Standard"/>
    <w:next w:val="Standard"/>
    <w:link w:val="TitelZchn"/>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itelZchn">
    <w:name w:val="Titel Zchn"/>
    <w:basedOn w:val="Absatz-Standardschriftart"/>
    <w:link w:val="Titel"/>
    <w:uiPriority w:val="10"/>
    <w:rsid w:val="002D7A44"/>
    <w:rPr>
      <w:rFonts w:ascii="Noto Sans" w:eastAsiaTheme="majorEastAsia" w:hAnsi="Noto Sans" w:cstheme="majorBidi"/>
      <w:spacing w:val="-10"/>
      <w:kern w:val="28"/>
      <w:sz w:val="56"/>
      <w:szCs w:val="56"/>
    </w:rPr>
  </w:style>
  <w:style w:type="paragraph" w:styleId="Listenabsatz">
    <w:name w:val="List Paragraph"/>
    <w:basedOn w:val="Standard"/>
    <w:link w:val="ListenabsatzZchn"/>
    <w:uiPriority w:val="34"/>
    <w:qFormat/>
    <w:rsid w:val="002D7A44"/>
    <w:pPr>
      <w:ind w:left="720"/>
      <w:contextualSpacing/>
    </w:pPr>
  </w:style>
  <w:style w:type="character" w:customStyle="1" w:styleId="berschrift1Zchn">
    <w:name w:val="Überschrift 1 Zchn"/>
    <w:basedOn w:val="Absatz-Standardschriftart"/>
    <w:link w:val="berschrift1"/>
    <w:uiPriority w:val="9"/>
    <w:rsid w:val="002D7A44"/>
    <w:rPr>
      <w:rFonts w:ascii="Noto Sans" w:eastAsiaTheme="majorEastAsia" w:hAnsi="Noto Sans" w:cstheme="majorBidi"/>
      <w:color w:val="D73237"/>
      <w:sz w:val="36"/>
      <w:szCs w:val="32"/>
    </w:rPr>
  </w:style>
  <w:style w:type="character" w:customStyle="1" w:styleId="berschrift2Zchn">
    <w:name w:val="Überschrift 2 Zchn"/>
    <w:basedOn w:val="Absatz-Standardschriftart"/>
    <w:link w:val="berschrift2"/>
    <w:uiPriority w:val="9"/>
    <w:rsid w:val="003E6855"/>
    <w:rPr>
      <w:rFonts w:ascii="Noto Sans" w:eastAsiaTheme="majorEastAsia" w:hAnsi="Noto Sans" w:cstheme="majorBidi"/>
      <w:color w:val="D73237"/>
      <w:sz w:val="28"/>
      <w:szCs w:val="26"/>
    </w:rPr>
  </w:style>
  <w:style w:type="character" w:customStyle="1" w:styleId="berschrift3Zchn">
    <w:name w:val="Überschrift 3 Zchn"/>
    <w:basedOn w:val="Absatz-Standardschriftart"/>
    <w:link w:val="berschrift3"/>
    <w:uiPriority w:val="9"/>
    <w:rsid w:val="003E6855"/>
    <w:rPr>
      <w:rFonts w:ascii="Noto Sans" w:eastAsiaTheme="majorEastAsia" w:hAnsi="Noto Sans" w:cstheme="majorBidi"/>
      <w:color w:val="D73237"/>
      <w:sz w:val="24"/>
      <w:szCs w:val="24"/>
    </w:rPr>
  </w:style>
  <w:style w:type="character" w:customStyle="1" w:styleId="berschrift4Zchn">
    <w:name w:val="Überschrift 4 Zchn"/>
    <w:basedOn w:val="Absatz-Standardschriftart"/>
    <w:link w:val="berschrift4"/>
    <w:uiPriority w:val="9"/>
    <w:rsid w:val="00670F02"/>
    <w:rPr>
      <w:rFonts w:ascii="Noto Sans" w:eastAsiaTheme="majorEastAsia" w:hAnsi="Noto Sans" w:cstheme="majorBidi"/>
      <w:iCs/>
      <w:color w:val="000000" w:themeColor="text1"/>
      <w:u w:val="single"/>
    </w:rPr>
  </w:style>
  <w:style w:type="paragraph" w:styleId="Untertitel">
    <w:name w:val="Subtitle"/>
    <w:basedOn w:val="Standard"/>
    <w:next w:val="Standard"/>
    <w:link w:val="UntertitelZchn"/>
    <w:uiPriority w:val="11"/>
    <w:qFormat/>
    <w:rsid w:val="003E6855"/>
    <w:pPr>
      <w:numPr>
        <w:ilvl w:val="1"/>
      </w:numPr>
    </w:pPr>
    <w:rPr>
      <w:rFonts w:eastAsiaTheme="minorEastAsia"/>
      <w:color w:val="5A5A5A" w:themeColor="text1" w:themeTint="A5"/>
      <w:spacing w:val="15"/>
    </w:rPr>
  </w:style>
  <w:style w:type="character" w:customStyle="1" w:styleId="UntertitelZchn">
    <w:name w:val="Untertitel Zchn"/>
    <w:basedOn w:val="Absatz-Standardschriftart"/>
    <w:link w:val="Untertitel"/>
    <w:uiPriority w:val="11"/>
    <w:rsid w:val="003E6855"/>
    <w:rPr>
      <w:rFonts w:ascii="Noto Sans" w:eastAsiaTheme="minorEastAsia" w:hAnsi="Noto Sans"/>
      <w:color w:val="5A5A5A" w:themeColor="text1" w:themeTint="A5"/>
      <w:spacing w:val="15"/>
    </w:rPr>
  </w:style>
  <w:style w:type="character" w:styleId="IntensiverVerweis">
    <w:name w:val="Intense Reference"/>
    <w:basedOn w:val="Absatz-Standardschriftart"/>
    <w:uiPriority w:val="32"/>
    <w:qFormat/>
    <w:rsid w:val="001668E3"/>
    <w:rPr>
      <w:b/>
      <w:bCs/>
      <w:smallCaps/>
      <w:color w:val="D73237"/>
      <w:spacing w:val="5"/>
    </w:rPr>
  </w:style>
  <w:style w:type="paragraph" w:styleId="IntensivesZitat">
    <w:name w:val="Intense Quote"/>
    <w:basedOn w:val="Standard"/>
    <w:next w:val="Standard"/>
    <w:link w:val="IntensivesZitatZchn"/>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IntensivesZitatZchn">
    <w:name w:val="Intensives Zitat Zchn"/>
    <w:basedOn w:val="Absatz-Standardschriftart"/>
    <w:link w:val="IntensivesZitat"/>
    <w:uiPriority w:val="30"/>
    <w:rsid w:val="006D6430"/>
    <w:rPr>
      <w:rFonts w:ascii="Noto Sans" w:hAnsi="Noto Sans"/>
      <w:i/>
      <w:iCs/>
      <w:color w:val="D73237"/>
    </w:rPr>
  </w:style>
  <w:style w:type="paragraph" w:styleId="Kopfzeile">
    <w:name w:val="header"/>
    <w:basedOn w:val="Standard"/>
    <w:link w:val="KopfzeileZchn"/>
    <w:uiPriority w:val="99"/>
    <w:unhideWhenUsed/>
    <w:rsid w:val="00B54547"/>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54547"/>
    <w:rPr>
      <w:rFonts w:ascii="Noto Sans" w:hAnsi="Noto Sans"/>
    </w:rPr>
  </w:style>
  <w:style w:type="paragraph" w:styleId="Fuzeile">
    <w:name w:val="footer"/>
    <w:basedOn w:val="Standard"/>
    <w:link w:val="FuzeileZchn"/>
    <w:uiPriority w:val="99"/>
    <w:unhideWhenUsed/>
    <w:rsid w:val="00B54547"/>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54547"/>
    <w:rPr>
      <w:rFonts w:ascii="Noto Sans" w:hAnsi="Noto Sans"/>
    </w:rPr>
  </w:style>
  <w:style w:type="paragraph" w:customStyle="1" w:styleId="Headline1-MG">
    <w:name w:val="Headline 1 - MG"/>
    <w:next w:val="Standard"/>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berschrift1"/>
    <w:next w:val="Standard"/>
    <w:link w:val="HeadlineGreenZchn"/>
    <w:qFormat/>
    <w:rsid w:val="00703F47"/>
    <w:rPr>
      <w:color w:val="B4C3AA"/>
    </w:rPr>
  </w:style>
  <w:style w:type="character" w:customStyle="1" w:styleId="ListenabsatzZchn">
    <w:name w:val="Listenabsatz Zchn"/>
    <w:basedOn w:val="Absatz-Standardschriftart"/>
    <w:link w:val="Listenabsatz"/>
    <w:uiPriority w:val="34"/>
    <w:rsid w:val="006D6430"/>
    <w:rPr>
      <w:rFonts w:ascii="Noto Sans" w:hAnsi="Noto Sans"/>
    </w:rPr>
  </w:style>
  <w:style w:type="character" w:customStyle="1" w:styleId="Headline1-MGZchn">
    <w:name w:val="Headline 1 - MG Zchn"/>
    <w:basedOn w:val="ListenabsatzZchn"/>
    <w:link w:val="Headline1-MG"/>
    <w:rsid w:val="006D6430"/>
    <w:rPr>
      <w:rFonts w:ascii="Noto Sans" w:eastAsiaTheme="majorEastAsia" w:hAnsi="Noto Sans" w:cstheme="majorBidi"/>
      <w:color w:val="B4C3AA"/>
      <w:sz w:val="36"/>
      <w:szCs w:val="32"/>
      <w:lang w:val="en-GB"/>
    </w:rPr>
  </w:style>
  <w:style w:type="character" w:customStyle="1" w:styleId="HeadlineGreenZchn">
    <w:name w:val="Headline Green Zchn"/>
    <w:basedOn w:val="Absatz-Standardschriftart"/>
    <w:link w:val="HeadlineGreen"/>
    <w:rsid w:val="00703F47"/>
    <w:rPr>
      <w:rFonts w:ascii="Noto Sans" w:eastAsiaTheme="majorEastAsia" w:hAnsi="Noto Sans" w:cstheme="majorBidi"/>
      <w:color w:val="B4C3AA"/>
      <w:sz w:val="36"/>
      <w:szCs w:val="32"/>
      <w:lang w:val="en-GB"/>
    </w:rPr>
  </w:style>
  <w:style w:type="character" w:styleId="Hyperlink">
    <w:name w:val="Hyperlink"/>
    <w:basedOn w:val="Absatz-Standardschriftart"/>
    <w:uiPriority w:val="99"/>
    <w:unhideWhenUsed/>
    <w:rsid w:val="00EC6E68"/>
    <w:rPr>
      <w:color w:val="0563C1" w:themeColor="hyperlink"/>
      <w:u w:val="single"/>
    </w:rPr>
  </w:style>
  <w:style w:type="character" w:styleId="NichtaufgelsteErwhnung">
    <w:name w:val="Unresolved Mention"/>
    <w:basedOn w:val="Absatz-Standardschriftart"/>
    <w:uiPriority w:val="99"/>
    <w:semiHidden/>
    <w:unhideWhenUsed/>
    <w:rsid w:val="00EC6E68"/>
    <w:rPr>
      <w:color w:val="605E5C"/>
      <w:shd w:val="clear" w:color="auto" w:fill="E1DFDD"/>
    </w:rPr>
  </w:style>
  <w:style w:type="character" w:styleId="Kommentarzeichen">
    <w:name w:val="annotation reference"/>
    <w:basedOn w:val="Absatz-Standardschriftart"/>
    <w:uiPriority w:val="99"/>
    <w:semiHidden/>
    <w:unhideWhenUsed/>
    <w:rsid w:val="00DE432C"/>
    <w:rPr>
      <w:sz w:val="16"/>
      <w:szCs w:val="16"/>
    </w:rPr>
  </w:style>
  <w:style w:type="paragraph" w:styleId="Kommentartext">
    <w:name w:val="annotation text"/>
    <w:basedOn w:val="Standard"/>
    <w:link w:val="KommentartextZchn"/>
    <w:uiPriority w:val="99"/>
    <w:unhideWhenUsed/>
    <w:rsid w:val="00DE432C"/>
    <w:pPr>
      <w:spacing w:line="240" w:lineRule="auto"/>
    </w:pPr>
    <w:rPr>
      <w:sz w:val="20"/>
      <w:szCs w:val="20"/>
    </w:rPr>
  </w:style>
  <w:style w:type="character" w:customStyle="1" w:styleId="KommentartextZchn">
    <w:name w:val="Kommentartext Zchn"/>
    <w:basedOn w:val="Absatz-Standardschriftart"/>
    <w:link w:val="Kommentartext"/>
    <w:uiPriority w:val="99"/>
    <w:rsid w:val="00DE432C"/>
    <w:rPr>
      <w:rFonts w:ascii="Noto Sans" w:hAnsi="Noto Sans"/>
      <w:sz w:val="20"/>
      <w:szCs w:val="20"/>
    </w:rPr>
  </w:style>
  <w:style w:type="paragraph" w:styleId="Kommentarthema">
    <w:name w:val="annotation subject"/>
    <w:basedOn w:val="Kommentartext"/>
    <w:next w:val="Kommentartext"/>
    <w:link w:val="KommentarthemaZchn"/>
    <w:uiPriority w:val="99"/>
    <w:semiHidden/>
    <w:unhideWhenUsed/>
    <w:rsid w:val="00DE432C"/>
    <w:rPr>
      <w:b/>
      <w:bCs/>
    </w:rPr>
  </w:style>
  <w:style w:type="character" w:customStyle="1" w:styleId="KommentarthemaZchn">
    <w:name w:val="Kommentarthema Zchn"/>
    <w:basedOn w:val="KommentartextZchn"/>
    <w:link w:val="Kommentarthema"/>
    <w:uiPriority w:val="99"/>
    <w:semiHidden/>
    <w:rsid w:val="00DE432C"/>
    <w:rPr>
      <w:rFonts w:ascii="Noto Sans" w:hAnsi="Noto Sans"/>
      <w:b/>
      <w:bCs/>
      <w:sz w:val="20"/>
      <w:szCs w:val="20"/>
    </w:rPr>
  </w:style>
  <w:style w:type="paragraph" w:styleId="berarbeitung">
    <w:name w:val="Revision"/>
    <w:hidden/>
    <w:uiPriority w:val="99"/>
    <w:semiHidden/>
    <w:rsid w:val="002D4EDD"/>
    <w:pPr>
      <w:spacing w:after="0" w:line="240" w:lineRule="auto"/>
    </w:pPr>
    <w:rPr>
      <w:rFonts w:ascii="Noto Sans" w:hAnsi="Noto Sans"/>
    </w:rPr>
  </w:style>
  <w:style w:type="table" w:styleId="Tabellenraster">
    <w:name w:val="Table Grid"/>
    <w:basedOn w:val="NormaleTabelle"/>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ett">
    <w:name w:val="Strong"/>
    <w:basedOn w:val="Absatz-Standardschriftart"/>
    <w:qFormat/>
    <w:rsid w:val="002F2BDF"/>
    <w:rPr>
      <w:b/>
      <w:bCs/>
    </w:rPr>
  </w:style>
  <w:style w:type="character" w:customStyle="1" w:styleId="ui-provider">
    <w:name w:val="ui-provider"/>
    <w:basedOn w:val="Absatz-Standardschriftart"/>
    <w:rsid w:val="00E36458"/>
  </w:style>
  <w:style w:type="paragraph" w:customStyle="1" w:styleId="pf0">
    <w:name w:val="pf0"/>
    <w:basedOn w:val="Standard"/>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yperlink" Target="mailto:cancellation@fronius.com" TargetMode="External"/><Relationship Id="rId18" Type="http://schemas.openxmlformats.org/officeDocument/2006/relationships/customXml" Target="../customXml/item1.xml"/><Relationship Id="rId3" Type="http://schemas.openxmlformats.org/officeDocument/2006/relationships/settings" Target="settings.xml"/><Relationship Id="rId21" Type="http://schemas.openxmlformats.org/officeDocument/2006/relationships/customXml" Target="../customXml/item4.xml"/><Relationship Id="rId7" Type="http://schemas.openxmlformats.org/officeDocument/2006/relationships/image" Target="media/image1.png"/><Relationship Id="rId12" Type="http://schemas.openxmlformats.org/officeDocument/2006/relationships/hyperlink" Target="mailto:rke@a1kommunikation.de"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20" Type="http://schemas.openxmlformats.org/officeDocument/2006/relationships/customXml" Target="../customXml/item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mailto:Ho.Kenny@fronius.com" TargetMode="External"/><Relationship Id="rId5" Type="http://schemas.openxmlformats.org/officeDocument/2006/relationships/footnotes" Target="footnotes.xml"/><Relationship Id="rId15" Type="http://schemas.openxmlformats.org/officeDocument/2006/relationships/footer" Target="footer1.xml"/><Relationship Id="rId10" Type="http://schemas.openxmlformats.org/officeDocument/2006/relationships/hyperlink" Target="mailto:woodford.natalie@fronius.com" TargetMode="External"/><Relationship Id="rId19"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hyperlink" Target="mailto:schwarz.fabian@fronius.com" TargetMode="External"/><Relationship Id="rId14" Type="http://schemas.openxmlformats.org/officeDocument/2006/relationships/header" Target="header1.xml"/><Relationship Id="rId22" Type="http://schemas.openxmlformats.org/officeDocument/2006/relationships/customXml" Target="../customXml/item5.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Stromspeicher-Inspektion 2024</title_TI_DE>
    <title_TI_NO xmlns="dc0c2c3d-e9fc-4a0d-820b-87ab82e65f20">Energy Storage Inspection 2024</title_TI_NO>
    <Documenttype_PT xmlns="dc0c2c3d-e9fc-4a0d-820b-87ab82e65f20">Comunicado à imprensa</Documenttype_PT>
    <Documenttype_RU xmlns="dc0c2c3d-e9fc-4a0d-820b-87ab82e65f20">Пресс-релиз</Documenttype_RU>
    <title_TI_TR xmlns="dc0c2c3d-e9fc-4a0d-820b-87ab82e65f20">Energy Storage Inspection 2024</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Energy Storage Inspection 2024</title_TI_TH>
    <Licence_x0020_information xmlns="dc0c2c3d-e9fc-4a0d-820b-87ab82e65f20">(c) Fronius International</Licence_x0020_information>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f02bcb85e834895bd30a86f7c59478d>
    <title_TI_EA xmlns="dc0c2c3d-e9fc-4a0d-820b-87ab82e65f20">Energy Storage Inspection 2024</title_TI_EA>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Energy Storage Inspection 2024</title_TI_DA>
    <Documenttype_TR xmlns="dc0c2c3d-e9fc-4a0d-820b-87ab82e65f20">Basın bülteni</Documenttype_TR>
    <title_TI_PL xmlns="dc0c2c3d-e9fc-4a0d-820b-87ab82e65f20">Energy Storage Inspection 2024</title_TI_PL>
    <Documenttype_TH xmlns="dc0c2c3d-e9fc-4a0d-820b-87ab82e65f20">ข่าวประชาสัมพันธ์</Documenttype_TH>
    <title_TI_EL xmlns="dc0c2c3d-e9fc-4a0d-820b-87ab82e65f20">Energy Storage Inspection 2024</title_TI_EL>
    <Documenttype_EA xmlns="dc0c2c3d-e9fc-4a0d-820b-87ab82e65f20">Press Release</Documenttype_EA>
    <Web_x0020_Display_x0020_Title_x0020_ET xmlns="dc0c2c3d-e9fc-4a0d-820b-87ab82e65f20">Energy Storage Inspection 2024</Web_x0020_Display_x0020_Title_x0020_ET>
    <Resolution xmlns="dc0c2c3d-e9fc-4a0d-820b-87ab82e65f20" xsi:nil="true"/>
    <Division xmlns="dc0c2c3d-e9fc-4a0d-820b-87ab82e65f20">Solar Energy</Division>
    <Permission xmlns="dc0c2c3d-e9fc-4a0d-820b-87ab82e65f20">Public</Permission>
    <title_TI_FR xmlns="dc0c2c3d-e9fc-4a0d-820b-87ab82e65f20">Energy Storage Inspection 2024</title_TI_FR>
    <Documenttype_EN xmlns="dc0c2c3d-e9fc-4a0d-820b-87ab82e65f20">Press Release</Documenttype_EN>
    <Documenttype_ES xmlns="dc0c2c3d-e9fc-4a0d-820b-87ab82e65f20">Información de prensa</Documenttype_ES>
    <title_TI_CN xmlns="dc0c2c3d-e9fc-4a0d-820b-87ab82e65f20" xsi:nil="true"/>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Energy Storage Inspection 2024</title_TI_SV>
    <Documenttype_PL xmlns="dc0c2c3d-e9fc-4a0d-820b-87ab82e65f20">Informacja prasowe</Documenttype_PL>
    <VersionInternal xmlns="dc0c2c3d-e9fc-4a0d-820b-87ab82e65f20" xsi:nil="true"/>
    <Update xmlns="dc0c2c3d-e9fc-4a0d-820b-87ab82e65f20" xsi:nil="true"/>
    <FSM xmlns="dc0c2c3d-e9fc-4a0d-820b-87ab82e65f20">No</FSM>
    <FileMaster xmlns="dc0c2c3d-e9fc-4a0d-820b-87ab82e65f20">C-153053</FileMaster>
    <title_TI_NL xmlns="dc0c2c3d-e9fc-4a0d-820b-87ab82e65f20">Energy Storage Inspection 2024</title_TI_NL>
    <contentservId xmlns="c4543867-fb67-4424-a255-4d54d75e50e3">C-153054</contentservId>
    <title_TI_IT xmlns="dc0c2c3d-e9fc-4a0d-820b-87ab82e65f20">Energy Storage Inspection 2024</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Energy Storage Inspection 2024</title_TI_UA>
    <title_TI_JP xmlns="dc0c2c3d-e9fc-4a0d-820b-87ab82e65f20">Energy Storage Inspection 2024</title_TI_JP>
    <title_TI_RO xmlns="dc0c2c3d-e9fc-4a0d-820b-87ab82e65f20">Energy Storage Inspection 2024</title_TI_RO>
    <Documenttype_NL xmlns="dc0c2c3d-e9fc-4a0d-820b-87ab82e65f20">Persbericht</Documenttype_NL>
    <Documenttype_NB xmlns="c4543867-fb67-4424-a255-4d54d75e50e3">Presseinformasjon</Documenttype_NB>
    <title_ti_nb xmlns="dc0c2c3d-e9fc-4a0d-820b-87ab82e65f20" xsi:nil="true"/>
    <title_TI_ES xmlns="dc0c2c3d-e9fc-4a0d-820b-87ab82e65f20">Energy Storage Inspection 2024</title_TI_ES>
    <title_TI_JA xmlns="dc0c2c3d-e9fc-4a0d-820b-87ab82e65f20">Energy Storage Inspection 2024</title_TI_JA>
    <Documenttype_IT xmlns="dc0c2c3d-e9fc-4a0d-820b-87ab82e65f20">Comunicato stampa</Documenttype_IT>
    <Documenttype_ZH xmlns="dc0c2c3d-e9fc-4a0d-820b-87ab82e65f20">Press Release</Documenttype_ZH>
    <TaxCatchAll xmlns="92f60987-cbcc-4245-baaf-239af3bfd6e8">
      <Value>1</Value>
      <Value>252</Value>
    </TaxCatchAll>
    <AGB xmlns="dc0c2c3d-e9fc-4a0d-820b-87ab82e65f20">false</AGB>
    <title_TI_EN xmlns="dc0c2c3d-e9fc-4a0d-820b-87ab82e65f20">Energy Storage Inspection 2024</title_TI_EN>
    <MRMKeyWords xmlns="dc0c2c3d-e9fc-4a0d-820b-87ab82e65f20">#BYD#GEN24#BYD Battery-Box HV#GEN24 Plus#Fronius Primo GEN24 Plus#BYD Battery-Box Premium HVS/HVM#Stromspeicherinspektion#Fronius Symo GEN24#Fronius Primo GEN24#BYD Battery Box Premium HVS/HVM#Energy Storage Inspection#byd#gen24#byd battery-box hv#gen24 plus#fronius primo gen24 plus#byd battery-box premium hvs/hvm#stromspeicherinspektion#fronius symo gen24#</MRMKeyWords>
    <title_ti_zh xmlns="dc0c2c3d-e9fc-4a0d-820b-87ab82e65f20">Energy Storage Inspection 2024</title_ti_zh>
    <MRMID xmlns="dc0c2c3d-e9fc-4a0d-820b-87ab82e65f20">M-223103</MRMID>
    <Documenttype_UK xmlns="c4543867-fb67-4424-a255-4d54d75e50e3">Прес-релізи</Documenttype_UK>
    <title_TI_SK xmlns="dc0c2c3d-e9fc-4a0d-820b-87ab82e65f20">Energy Storage Inspection 2024</title_TI_SK>
    <Documenttype_UA xmlns="dc0c2c3d-e9fc-4a0d-820b-87ab82e65f20">Прес-релізи</Documenttype_UA>
    <title_TI_HU xmlns="dc0c2c3d-e9fc-4a0d-820b-87ab82e65f20">Energy Storage Inspection 2024</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Energy Storage Inspection 2024</title_TI_PT>
    <title_ti_fi xmlns="dc0c2c3d-e9fc-4a0d-820b-87ab82e65f20">Energy Storage Inspection 2024</title_ti_fi>
    <Country xmlns="dc0c2c3d-e9fc-4a0d-820b-87ab82e65f20">
      <Value>6</Value>
      <Value>44</Value>
    </Country>
    <fro_spid xmlns="dc0c2c3d-e9fc-4a0d-820b-87ab82e65f20">9869;SE</fro_spid>
    <title_TI_RU xmlns="dc0c2c3d-e9fc-4a0d-820b-87ab82e65f20">Energy Storage Inspection 2024</title_TI_RU>
    <Documenttype_JA xmlns="dc0c2c3d-e9fc-4a0d-820b-87ab82e65f20">ニュースリリース</Documenttype_JA>
    <Colour_x0020_space xmlns="dc0c2c3d-e9fc-4a0d-820b-87ab82e65f20" xsi:nil="true"/>
    <title_TI_CS xmlns="dc0c2c3d-e9fc-4a0d-820b-87ab82e65f20">Energy Storage Inspection 2024</title_TI_CS>
    <title_TI_AR xmlns="dc0c2c3d-e9fc-4a0d-820b-87ab82e65f20">Energy Storage Inspection 2024</title_TI_AR>
  </documentManagement>
</p:properties>
</file>

<file path=customXml/itemProps1.xml><?xml version="1.0" encoding="utf-8"?>
<ds:datastoreItem xmlns:ds="http://schemas.openxmlformats.org/officeDocument/2006/customXml" ds:itemID="{50D59EB0-134D-4708-B224-840F30C84AE3}"/>
</file>

<file path=customXml/itemProps2.xml><?xml version="1.0" encoding="utf-8"?>
<ds:datastoreItem xmlns:ds="http://schemas.openxmlformats.org/officeDocument/2006/customXml" ds:itemID="{E0127A3E-D737-445C-9BA8-46570873330B}"/>
</file>

<file path=customXml/itemProps3.xml><?xml version="1.0" encoding="utf-8"?>
<ds:datastoreItem xmlns:ds="http://schemas.openxmlformats.org/officeDocument/2006/customXml" ds:itemID="{933AABD6-ED50-4C0C-A1AA-C56CDE180654}"/>
</file>

<file path=customXml/itemProps4.xml><?xml version="1.0" encoding="utf-8"?>
<ds:datastoreItem xmlns:ds="http://schemas.openxmlformats.org/officeDocument/2006/customXml" ds:itemID="{C5E25C55-847C-4987-A99A-37E70CE381C0}"/>
</file>

<file path=customXml/itemProps5.xml><?xml version="1.0" encoding="utf-8"?>
<ds:datastoreItem xmlns:ds="http://schemas.openxmlformats.org/officeDocument/2006/customXml" ds:itemID="{73482C19-BFE1-4E3A-9A07-F65E662A86F7}"/>
</file>

<file path=docProps/app.xml><?xml version="1.0" encoding="utf-8"?>
<Properties xmlns="http://schemas.openxmlformats.org/officeDocument/2006/extended-properties" xmlns:vt="http://schemas.openxmlformats.org/officeDocument/2006/docPropsVTypes">
  <Template>DE_Standardvorlage.dotx</Template>
  <TotalTime>0</TotalTime>
  <Pages>3</Pages>
  <Words>715</Words>
  <Characters>4506</Characters>
  <Application>Microsoft Office Word</Application>
  <DocSecurity>0</DocSecurity>
  <Lines>37</Lines>
  <Paragraphs>10</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SE_PR_Fronius_Energy_Storage_Inspection_2024_EN-GB</dc:title>
  <dc:subject/>
  <dc:creator>Kneringer Daniel</dc:creator>
  <cp:keywords/>
  <dc:description/>
  <cp:lastModifiedBy>Schwarz Fabian</cp:lastModifiedBy>
  <cp:revision>16</cp:revision>
  <cp:lastPrinted>2023-04-03T08:49:00Z</cp:lastPrinted>
  <dcterms:created xsi:type="dcterms:W3CDTF">2024-02-28T15:34:00Z</dcterms:created>
  <dcterms:modified xsi:type="dcterms:W3CDTF">2024-03-13T08:02:00Z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0x010100D81D3A5E066A7C4C894BF34B3C71E9830078818E860836564580539BE5C2186B8E</vt:lpwstr>
  </property>
  <property fmtid="{D5CDD505-2E9C-101B-9397-08002B2CF9AE}" pid="5" name="Service Levels TIM-RS">
    <vt:lpwstr/>
  </property>
  <property fmtid="{D5CDD505-2E9C-101B-9397-08002B2CF9AE}" pid="6" name="Products">
    <vt:lpwstr/>
  </property>
  <property fmtid="{D5CDD505-2E9C-101B-9397-08002B2CF9AE}" pid="7" name="fro_PartnerRoles">
    <vt:lpwstr/>
  </property>
  <property fmtid="{D5CDD505-2E9C-101B-9397-08002B2CF9AE}" pid="8" name="Language">
    <vt:lpwstr>252;##EN|71e5a4f0-0757-4fab-a12c-3089e9946ab2</vt:lpwstr>
  </property>
  <property fmtid="{D5CDD505-2E9C-101B-9397-08002B2CF9AE}" pid="9" name="FroConDoc_language">
    <vt:lpwstr>1;#DE|676160ea-61f7-4cef-8b4c-1724dec2206e</vt:lpwstr>
  </property>
</Properties>
</file>