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722F4" w14:textId="05A6BBB5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87BC23B" w14:textId="77777777" w:rsidR="00ED5549" w:rsidRPr="002F207D" w:rsidRDefault="00ED5549" w:rsidP="00604BFB">
      <w:pPr>
        <w:jc w:val="both"/>
        <w:rPr>
          <w:sz w:val="20"/>
          <w:szCs w:val="20"/>
          <w:lang w:val="en-US"/>
        </w:rPr>
      </w:pPr>
    </w:p>
    <w:p w14:paraId="64EAFB9B" w14:textId="273A2B2D" w:rsidR="002D7A44" w:rsidRPr="002F207D" w:rsidRDefault="00ED5549" w:rsidP="00604BFB">
      <w:pPr>
        <w:pStyle w:val="berschrift1"/>
        <w:jc w:val="both"/>
      </w:pPr>
      <w:r>
        <w:t>Informacja prasowa</w:t>
      </w:r>
    </w:p>
    <w:p w14:paraId="07CB8F03" w14:textId="06F6FC04" w:rsidR="00ED5549" w:rsidRPr="002F207D" w:rsidRDefault="0051114E" w:rsidP="00604BFB">
      <w:pPr>
        <w:jc w:val="both"/>
      </w:pPr>
      <w:r>
        <w:rPr>
          <w:sz w:val="20"/>
        </w:rPr>
        <w:t>Solar Energy</w:t>
      </w:r>
    </w:p>
    <w:p w14:paraId="3EF5C6DD" w14:textId="6608F6CF" w:rsidR="00ED5549" w:rsidRPr="002F207D" w:rsidRDefault="00ED5549" w:rsidP="00604BFB">
      <w:pPr>
        <w:jc w:val="both"/>
        <w:rPr>
          <w:sz w:val="20"/>
          <w:szCs w:val="20"/>
        </w:rPr>
      </w:pPr>
    </w:p>
    <w:p w14:paraId="00F13E77" w14:textId="77777777" w:rsidR="00E83DD7" w:rsidRPr="002F207D" w:rsidRDefault="00E83DD7" w:rsidP="00604BFB">
      <w:pPr>
        <w:jc w:val="both"/>
        <w:rPr>
          <w:sz w:val="20"/>
          <w:szCs w:val="20"/>
        </w:rPr>
      </w:pPr>
    </w:p>
    <w:p w14:paraId="0A1238B9" w14:textId="40FC6CAE" w:rsidR="001742A0" w:rsidRDefault="00606028" w:rsidP="00604BFB">
      <w:pPr>
        <w:pStyle w:val="berschrift2"/>
        <w:jc w:val="both"/>
        <w:rPr>
          <w:color w:val="auto"/>
          <w:sz w:val="22"/>
          <w:szCs w:val="20"/>
        </w:rPr>
      </w:pPr>
      <w:r>
        <w:rPr>
          <w:color w:val="auto"/>
          <w:sz w:val="22"/>
        </w:rPr>
        <w:t>Ranking „Przegląd akumulatorów 2022”</w:t>
      </w:r>
    </w:p>
    <w:p w14:paraId="2CC4F935" w14:textId="2914AED6" w:rsidR="00ED5549" w:rsidRPr="001742A0" w:rsidRDefault="001742A0" w:rsidP="00604BFB">
      <w:pPr>
        <w:jc w:val="both"/>
        <w:rPr>
          <w:sz w:val="20"/>
          <w:szCs w:val="20"/>
        </w:rPr>
      </w:pPr>
      <w:r>
        <w:rPr>
          <w:sz w:val="32"/>
        </w:rPr>
        <w:t>Fronius zajmuje pierwsze i drugie miejsce, ponownie potwierdzając, że zasługuje na uznanie.</w:t>
      </w:r>
    </w:p>
    <w:p w14:paraId="47D72435" w14:textId="43D4E385" w:rsidR="001668E3" w:rsidRPr="00604BFB" w:rsidRDefault="00ED5549" w:rsidP="00604BFB">
      <w:pPr>
        <w:jc w:val="both"/>
        <w:rPr>
          <w:sz w:val="24"/>
          <w:szCs w:val="24"/>
        </w:rPr>
      </w:pPr>
      <w:r>
        <w:rPr>
          <w:sz w:val="24"/>
        </w:rPr>
        <w:t>Firma Fronius po raz trzeci z rzędu zajęła najwyższe miejsca w dorocznej Inspekcji Magazynowania Energii organizowanej przez Uniwersytet Nauk Stosowanych w Berlinie (HTW). Pierwsze miejsce zdobył Fronius Primo GEN24 6.0 Plus za referencję 5 kWp, natomiast Fronius Symo GEN24 10.0 Plus zdobył drugie miejsce za referencję 10 kWp. Firma Fronius była również jedynym producentem falowników, który w obu produktach osiągnął klasę efektywności energetycznej A.</w:t>
      </w:r>
    </w:p>
    <w:p w14:paraId="2394DF3F" w14:textId="77777777" w:rsidR="003E6855" w:rsidRPr="002F207D" w:rsidRDefault="003E6855" w:rsidP="00604BFB">
      <w:pPr>
        <w:jc w:val="both"/>
        <w:rPr>
          <w:sz w:val="20"/>
          <w:szCs w:val="20"/>
        </w:rPr>
      </w:pPr>
    </w:p>
    <w:p w14:paraId="5EC11116" w14:textId="0DAC0424" w:rsidR="001742A0" w:rsidRPr="00944333" w:rsidRDefault="001742A0" w:rsidP="001742A0">
      <w:pPr>
        <w:jc w:val="both"/>
        <w:rPr>
          <w:sz w:val="20"/>
          <w:szCs w:val="20"/>
        </w:rPr>
      </w:pPr>
      <w:r>
        <w:rPr>
          <w:sz w:val="20"/>
        </w:rPr>
        <w:t xml:space="preserve">Inspekcja Magazynowania Energii prowadzona przez HTW Berlin to ogólnobranżowe badanie przeprowadzane corocznie przez niezależne instytuty w celu porównania fotowoltaicznych systemów magazynowania energii klientów indywidualnych. W tym roku w konkursie zmierzyło się 19 systemów magazynowania energii 14 producentów. Zostały one ocenione za pomocą wskaźnika wydajności systemu (SPI), niezależnej metody oceny, która stanowi dobry wyznacznik dla instalatorów i klientów końcowych w poszukiwaniu energooszczędnych rozwiązań do magazynowania energii. Wyniki są imponujące: wysoka wydajność systemu oznacza mniejsze straty energii, co z kolei prowadzi do wyższych zysków, a w konsekwencji do szybszego zwrotu z inwestycji </w:t>
      </w:r>
    </w:p>
    <w:p w14:paraId="2FB964F7" w14:textId="0C136A33" w:rsidR="001742A0" w:rsidRPr="001742A0" w:rsidRDefault="001742A0" w:rsidP="001742A0">
      <w:pPr>
        <w:jc w:val="both"/>
        <w:rPr>
          <w:sz w:val="20"/>
          <w:szCs w:val="20"/>
        </w:rPr>
      </w:pPr>
      <w:r>
        <w:rPr>
          <w:sz w:val="20"/>
        </w:rPr>
        <w:t>„Wprowadzamy energię ze słońca w życie naszych klientów, zademonstrowaliśmy to kolejny raz podczas Inspekcji Magazynowania Energii. To już trzeci raz byliśmy najlepsi w tym teście. Falowniki hybrydowe Fronius GEN24 Plus doskonale realizują naszą wizję 24 godzin słońca — dostarczając energię słoneczną za dnia do wykorzystania w nocy z najwyższą wydajnością —jest to niezbędne, aby realizować wizje zrównoważonego rozwoju. Wynik ten jest efektem naszej konsekwentnej pracy nad oceną cyklu życia urządzeń” — mówi Martin Hackl, dyrektor globalny jednostki biznesowej Solar Energy, Fronius International GmbH..</w:t>
      </w:r>
    </w:p>
    <w:p w14:paraId="766327C0" w14:textId="79601BB1" w:rsidR="001742A0" w:rsidRDefault="00944333" w:rsidP="00944333">
      <w:pPr>
        <w:pStyle w:val="berschrift4"/>
      </w:pPr>
      <w:r>
        <w:t>Jedyny producent z urządzeniami w klasie efektywności energetycznej A w obu kategoriach</w:t>
      </w:r>
    </w:p>
    <w:p w14:paraId="4518A34D" w14:textId="56875DEC" w:rsidR="00097F92" w:rsidRPr="00097F92" w:rsidRDefault="001742A0" w:rsidP="001742A0">
      <w:pPr>
        <w:jc w:val="both"/>
        <w:rPr>
          <w:sz w:val="20"/>
          <w:szCs w:val="20"/>
        </w:rPr>
      </w:pPr>
      <w:r>
        <w:rPr>
          <w:sz w:val="20"/>
        </w:rPr>
        <w:t xml:space="preserve">Najwyższą notę SPI w kategorii 5 kWp uzyskał falownik Primo GEN24 6.0 Plus współpracujący z BYD Battery-Box Premium HVS 7.7. Z wynikiem 92,2 procent zestaw ten okazał się o cały punkt procentowy lepszy od konkurenta sklasyfikowanego na drugim miejscu. W kategorii 10 kWp falownik Symo GEN24 10.0 Plus w zestawie z BYD Battery-Box Premium HVS 10.2 uzyskał notę SPI </w:t>
      </w:r>
      <w:r>
        <w:rPr>
          <w:sz w:val="20"/>
        </w:rPr>
        <w:lastRenderedPageBreak/>
        <w:t xml:space="preserve">równą 94,7 procent. „W obu kategoriach nasze falowniki należące do serii GEN24 Plus zaliczają się do klasy efektywności energetycznej A. Spośród wszystkich producentów tylko nam udała się ta sztuka”, wyjaśnia z dumą Susanne Lampl, menedżerka produktu, Fronius International. </w:t>
      </w:r>
    </w:p>
    <w:p w14:paraId="09D1E45F" w14:textId="77777777" w:rsidR="001742A0" w:rsidRPr="00FA0581" w:rsidRDefault="001742A0" w:rsidP="001742A0">
      <w:pPr>
        <w:pStyle w:val="berschrift4"/>
      </w:pPr>
      <w:r>
        <w:t>Składowe sukcesu: technologia Multi Flow, węglik krzemu i silni partnerzy</w:t>
      </w:r>
    </w:p>
    <w:p w14:paraId="5432D66B" w14:textId="66FFE761" w:rsidR="001742A0" w:rsidRPr="001742A0" w:rsidRDefault="00056836" w:rsidP="001742A0">
      <w:pPr>
        <w:jc w:val="both"/>
        <w:rPr>
          <w:sz w:val="20"/>
          <w:szCs w:val="20"/>
        </w:rPr>
      </w:pPr>
      <w:r>
        <w:rPr>
          <w:sz w:val="20"/>
        </w:rPr>
        <w:t xml:space="preserve">Technologia Multi Flow — kluczowy czynnik sukcesu, który umożliwia inteligentne zarządzanie przepływami energii — umożliwia nie tylko równoczesny przepływ energii we wszystkich kierunkach, ale także możliwość podłączenia akumulatora po stronie AC i DC. Podstawę tego rozwiązania stanowi energoelektronika. Bardzo wysoką sprawność konwersji można osiągnąć dzięki zastosowaniu półprzewodników mocy na bazie węglika krzemu, z zachowaniem wysokiej sprawności. </w:t>
      </w:r>
    </w:p>
    <w:p w14:paraId="453C9C56" w14:textId="7C718599" w:rsidR="00E2626F" w:rsidRPr="00E2626F" w:rsidRDefault="001742A0" w:rsidP="00E2626F">
      <w:pPr>
        <w:pStyle w:val="Standard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Noto Sans" w:eastAsiaTheme="minorHAnsi" w:hAnsi="Noto Sans" w:cstheme="minorBidi"/>
          <w:sz w:val="20"/>
          <w:szCs w:val="20"/>
        </w:rPr>
      </w:pPr>
      <w:r>
        <w:rPr>
          <w:rFonts w:ascii="Noto Sans" w:hAnsi="Noto Sans"/>
          <w:sz w:val="20"/>
        </w:rPr>
        <w:t xml:space="preserve">Fronius od ponad czterech lat współpracuje ze strategicznym partnerem, firmą high-tech BYD. Ścisła współpraca z BYD rozpoczęła się już w fazie rozwoju, umożliwiając optymalne dopasowanie obu urządzeń do siebie i pozwalającą uzyskać wysoką wydajnością systemu. </w:t>
      </w:r>
    </w:p>
    <w:p w14:paraId="0ECEF8A0" w14:textId="44850473" w:rsidR="001742A0" w:rsidRPr="001742A0" w:rsidRDefault="001742A0" w:rsidP="00E2626F">
      <w:pPr>
        <w:jc w:val="both"/>
        <w:rPr>
          <w:sz w:val="20"/>
          <w:szCs w:val="20"/>
        </w:rPr>
      </w:pPr>
    </w:p>
    <w:p w14:paraId="586761F3" w14:textId="40F055FC" w:rsidR="001742A0" w:rsidRDefault="001742A0" w:rsidP="001742A0">
      <w:r>
        <w:t xml:space="preserve">Szczegółowe informacje na temat rankingu Stromspeicher-Inspektion można znaleźć tutaj: </w:t>
      </w:r>
      <w:hyperlink r:id="rId7" w:history="1">
        <w:r>
          <w:rPr>
            <w:rStyle w:val="Hyperlink"/>
          </w:rPr>
          <w:t>https://solar.htw-berlin.de/studien/speicher-inspektion-2022/</w:t>
        </w:r>
      </w:hyperlink>
      <w:r>
        <w:t xml:space="preserve">  </w:t>
      </w:r>
    </w:p>
    <w:p w14:paraId="11257F3F" w14:textId="006BE30A" w:rsidR="001742A0" w:rsidRDefault="001742A0" w:rsidP="001742A0">
      <w:pPr>
        <w:jc w:val="both"/>
        <w:rPr>
          <w:lang w:val="de-DE"/>
        </w:rPr>
      </w:pPr>
    </w:p>
    <w:p w14:paraId="231BBC2A" w14:textId="2FF1D9BC" w:rsidR="001742A0" w:rsidRPr="006F73DA" w:rsidRDefault="001742A0" w:rsidP="00253496">
      <w:pPr>
        <w:spacing w:before="40" w:after="40"/>
        <w:jc w:val="both"/>
      </w:pPr>
      <w:r>
        <w:t>Liczba słów: 455</w:t>
      </w:r>
    </w:p>
    <w:p w14:paraId="7A0E5C1D" w14:textId="66E315D1" w:rsidR="001742A0" w:rsidRDefault="001742A0" w:rsidP="00253496">
      <w:pPr>
        <w:spacing w:before="40" w:after="40"/>
        <w:jc w:val="both"/>
      </w:pPr>
      <w:r>
        <w:t>Liczba znaków: 3468 (ze spacjami)</w:t>
      </w:r>
    </w:p>
    <w:p w14:paraId="13F0C1F8" w14:textId="77777777" w:rsidR="001742A0" w:rsidRDefault="001742A0" w:rsidP="001742A0">
      <w:pPr>
        <w:jc w:val="both"/>
        <w:rPr>
          <w:color w:val="000000" w:themeColor="text1"/>
          <w:lang w:val="de-DE"/>
        </w:rPr>
      </w:pPr>
    </w:p>
    <w:p w14:paraId="7EC534EB" w14:textId="26907B08" w:rsidR="00B8257D" w:rsidRDefault="00B8257D" w:rsidP="00604BFB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Wykaz materiałów graficznych</w:t>
      </w:r>
    </w:p>
    <w:p w14:paraId="67D17656" w14:textId="25FDC8FB" w:rsidR="00F12293" w:rsidRPr="00F12293" w:rsidRDefault="00F12293" w:rsidP="00F12293">
      <w:r>
        <w:rPr>
          <w:noProof/>
        </w:rPr>
        <w:drawing>
          <wp:anchor distT="0" distB="0" distL="114300" distR="114300" simplePos="0" relativeHeight="251671552" behindDoc="1" locked="0" layoutInCell="1" allowOverlap="1" wp14:anchorId="1FA7BB84" wp14:editId="0D197D10">
            <wp:simplePos x="0" y="0"/>
            <wp:positionH relativeFrom="margin">
              <wp:align>left</wp:align>
            </wp:positionH>
            <wp:positionV relativeFrom="paragraph">
              <wp:posOffset>304800</wp:posOffset>
            </wp:positionV>
            <wp:extent cx="2641600" cy="1866900"/>
            <wp:effectExtent l="0" t="0" r="6350" b="0"/>
            <wp:wrapTight wrapText="bothSides">
              <wp:wrapPolygon edited="0">
                <wp:start x="0" y="0"/>
                <wp:lineTo x="0" y="21380"/>
                <wp:lineTo x="21496" y="21380"/>
                <wp:lineTo x="21496" y="0"/>
                <wp:lineTo x="0" y="0"/>
              </wp:wrapPolygon>
            </wp:wrapTight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8081" cy="187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5527F4" w14:textId="2A1F46BA" w:rsidR="00410DAD" w:rsidRDefault="00410DAD" w:rsidP="00410DAD">
      <w:pPr>
        <w:jc w:val="both"/>
        <w:rPr>
          <w:sz w:val="18"/>
          <w:szCs w:val="18"/>
        </w:rPr>
      </w:pPr>
      <w:r>
        <w:rPr>
          <w:sz w:val="18"/>
        </w:rPr>
        <w:t>Wysoka sprawność systemu przyspiesza jego amortyzację.</w:t>
      </w:r>
    </w:p>
    <w:p w14:paraId="7415D515" w14:textId="09BA8F05" w:rsidR="00F12293" w:rsidRDefault="00F12293" w:rsidP="00410DAD">
      <w:pPr>
        <w:jc w:val="both"/>
        <w:rPr>
          <w:sz w:val="18"/>
          <w:szCs w:val="18"/>
        </w:rPr>
      </w:pPr>
    </w:p>
    <w:p w14:paraId="550D6CF6" w14:textId="7F19F168" w:rsidR="00F12293" w:rsidRDefault="00F12293" w:rsidP="00410DAD">
      <w:pPr>
        <w:jc w:val="both"/>
        <w:rPr>
          <w:sz w:val="18"/>
          <w:szCs w:val="18"/>
        </w:rPr>
      </w:pPr>
    </w:p>
    <w:p w14:paraId="214F0D08" w14:textId="70B3B542" w:rsidR="00F12293" w:rsidRDefault="00F12293" w:rsidP="00410DAD">
      <w:pPr>
        <w:jc w:val="both"/>
        <w:rPr>
          <w:sz w:val="18"/>
          <w:szCs w:val="18"/>
        </w:rPr>
      </w:pPr>
    </w:p>
    <w:p w14:paraId="393D9E83" w14:textId="0BF6D30C" w:rsidR="00F12293" w:rsidRDefault="00F12293" w:rsidP="00410DAD">
      <w:pPr>
        <w:jc w:val="both"/>
        <w:rPr>
          <w:sz w:val="18"/>
          <w:szCs w:val="18"/>
        </w:rPr>
      </w:pPr>
    </w:p>
    <w:p w14:paraId="170B2377" w14:textId="215C573C" w:rsidR="00F12293" w:rsidRDefault="00F12293" w:rsidP="00410DAD">
      <w:pPr>
        <w:jc w:val="both"/>
        <w:rPr>
          <w:sz w:val="18"/>
          <w:szCs w:val="18"/>
        </w:rPr>
      </w:pPr>
    </w:p>
    <w:p w14:paraId="33A02288" w14:textId="620990D3" w:rsidR="00B8257D" w:rsidRPr="002F207D" w:rsidRDefault="00F12293" w:rsidP="00604BFB">
      <w:pPr>
        <w:jc w:val="both"/>
        <w:rPr>
          <w:sz w:val="18"/>
          <w:szCs w:val="18"/>
        </w:rPr>
      </w:pPr>
      <w:r>
        <w:rPr>
          <w:noProof/>
          <w:sz w:val="18"/>
        </w:rPr>
        <w:drawing>
          <wp:anchor distT="0" distB="0" distL="114300" distR="114300" simplePos="0" relativeHeight="251670528" behindDoc="1" locked="0" layoutInCell="1" allowOverlap="1" wp14:anchorId="7AE1E538" wp14:editId="53EB7371">
            <wp:simplePos x="0" y="0"/>
            <wp:positionH relativeFrom="column">
              <wp:posOffset>-99695</wp:posOffset>
            </wp:positionH>
            <wp:positionV relativeFrom="paragraph">
              <wp:posOffset>291465</wp:posOffset>
            </wp:positionV>
            <wp:extent cx="2847975" cy="1600835"/>
            <wp:effectExtent l="0" t="0" r="9525" b="0"/>
            <wp:wrapTight wrapText="bothSides">
              <wp:wrapPolygon edited="0">
                <wp:start x="0" y="0"/>
                <wp:lineTo x="0" y="21334"/>
                <wp:lineTo x="21528" y="21334"/>
                <wp:lineTo x="21528" y="0"/>
                <wp:lineTo x="0" y="0"/>
              </wp:wrapPolygon>
            </wp:wrapTight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7975" cy="160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C6DC0F" w14:textId="77777777" w:rsidR="009A0CD9" w:rsidRDefault="009A0CD9" w:rsidP="00410DAD">
      <w:pPr>
        <w:jc w:val="both"/>
        <w:rPr>
          <w:sz w:val="18"/>
          <w:szCs w:val="18"/>
        </w:rPr>
      </w:pPr>
    </w:p>
    <w:p w14:paraId="2C524BDE" w14:textId="1C32B141" w:rsidR="00410DAD" w:rsidRPr="00410DAD" w:rsidRDefault="00410DAD" w:rsidP="00410DAD">
      <w:pPr>
        <w:jc w:val="both"/>
        <w:rPr>
          <w:sz w:val="18"/>
          <w:szCs w:val="18"/>
        </w:rPr>
      </w:pPr>
      <w:r>
        <w:rPr>
          <w:sz w:val="18"/>
        </w:rPr>
        <w:t>Firma Fronius po raz trzeci z rzędu zajmuje pierwsze miejsce w teście Inspekcji Magazynowania Energii HTW.</w:t>
      </w:r>
    </w:p>
    <w:p w14:paraId="29689614" w14:textId="17CB4B09" w:rsidR="00410DAD" w:rsidRPr="00410DAD" w:rsidRDefault="00410DAD" w:rsidP="002F207D">
      <w:pPr>
        <w:jc w:val="both"/>
        <w:rPr>
          <w:sz w:val="18"/>
          <w:szCs w:val="18"/>
          <w:lang w:val="de-DE"/>
        </w:rPr>
      </w:pPr>
    </w:p>
    <w:p w14:paraId="6BC6EE69" w14:textId="11DCE0CF" w:rsidR="002F207D" w:rsidRPr="002F207D" w:rsidRDefault="002F207D" w:rsidP="002F207D">
      <w:pPr>
        <w:jc w:val="both"/>
        <w:rPr>
          <w:sz w:val="18"/>
          <w:szCs w:val="18"/>
        </w:rPr>
      </w:pPr>
    </w:p>
    <w:p w14:paraId="49B516C6" w14:textId="36C53BDE" w:rsidR="002F207D" w:rsidRDefault="002F207D" w:rsidP="002F207D">
      <w:pPr>
        <w:jc w:val="both"/>
        <w:rPr>
          <w:sz w:val="18"/>
          <w:szCs w:val="18"/>
        </w:rPr>
      </w:pPr>
    </w:p>
    <w:p w14:paraId="4F18D1A5" w14:textId="62755F8A" w:rsidR="00E723FD" w:rsidRDefault="008955A6" w:rsidP="002F207D">
      <w:pPr>
        <w:jc w:val="both"/>
        <w:rPr>
          <w:sz w:val="18"/>
          <w:szCs w:val="18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 wp14:anchorId="3775F17C" wp14:editId="6343D73E">
            <wp:simplePos x="0" y="0"/>
            <wp:positionH relativeFrom="margin">
              <wp:align>left</wp:align>
            </wp:positionH>
            <wp:positionV relativeFrom="paragraph">
              <wp:posOffset>254000</wp:posOffset>
            </wp:positionV>
            <wp:extent cx="2658745" cy="1495425"/>
            <wp:effectExtent l="0" t="0" r="8255" b="0"/>
            <wp:wrapTight wrapText="bothSides">
              <wp:wrapPolygon edited="0">
                <wp:start x="0" y="0"/>
                <wp:lineTo x="0" y="21187"/>
                <wp:lineTo x="21512" y="21187"/>
                <wp:lineTo x="21512" y="0"/>
                <wp:lineTo x="0" y="0"/>
              </wp:wrapPolygon>
            </wp:wrapTight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4406" cy="1498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D311D2" w14:textId="32A797C0" w:rsidR="00E723FD" w:rsidRDefault="00E723FD" w:rsidP="002F207D">
      <w:pPr>
        <w:jc w:val="both"/>
        <w:rPr>
          <w:sz w:val="20"/>
          <w:szCs w:val="20"/>
        </w:rPr>
      </w:pPr>
      <w:r>
        <w:rPr>
          <w:sz w:val="20"/>
        </w:rPr>
        <w:t>Martin Hackl, Global Director Business Unit Solar Energy, Fronius International GmbH.</w:t>
      </w:r>
    </w:p>
    <w:p w14:paraId="3F5589F7" w14:textId="4F9AAAE3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7B9A9E5A" w14:textId="75B9E55E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77A13EF5" w14:textId="3026237C" w:rsidR="00E723FD" w:rsidRDefault="00E723FD" w:rsidP="002F207D">
      <w:pPr>
        <w:jc w:val="both"/>
        <w:rPr>
          <w:sz w:val="20"/>
          <w:szCs w:val="20"/>
          <w:lang w:val="en-US"/>
        </w:rPr>
      </w:pPr>
    </w:p>
    <w:p w14:paraId="422C25D0" w14:textId="13CBE37C" w:rsidR="00E723FD" w:rsidRDefault="00F12293" w:rsidP="002F207D">
      <w:pPr>
        <w:jc w:val="both"/>
        <w:rPr>
          <w:sz w:val="20"/>
          <w:szCs w:val="20"/>
        </w:rPr>
      </w:pPr>
      <w:r>
        <w:rPr>
          <w:noProof/>
          <w:sz w:val="20"/>
        </w:rPr>
        <w:drawing>
          <wp:anchor distT="0" distB="0" distL="114300" distR="114300" simplePos="0" relativeHeight="251669504" behindDoc="1" locked="0" layoutInCell="1" allowOverlap="1" wp14:anchorId="26F17967" wp14:editId="3BCAC359">
            <wp:simplePos x="0" y="0"/>
            <wp:positionH relativeFrom="margin">
              <wp:align>left</wp:align>
            </wp:positionH>
            <wp:positionV relativeFrom="paragraph">
              <wp:posOffset>281940</wp:posOffset>
            </wp:positionV>
            <wp:extent cx="2314575" cy="1543685"/>
            <wp:effectExtent l="0" t="0" r="0" b="0"/>
            <wp:wrapTight wrapText="bothSides">
              <wp:wrapPolygon edited="0">
                <wp:start x="0" y="0"/>
                <wp:lineTo x="0" y="21325"/>
                <wp:lineTo x="21333" y="21325"/>
                <wp:lineTo x="21333" y="0"/>
                <wp:lineTo x="0" y="0"/>
              </wp:wrapPolygon>
            </wp:wrapTight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Grafik 3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24666" cy="155069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78D7937" w14:textId="422EADBC" w:rsidR="00E723FD" w:rsidRPr="003F0C94" w:rsidRDefault="00E723FD" w:rsidP="002F207D">
      <w:pPr>
        <w:jc w:val="both"/>
        <w:rPr>
          <w:sz w:val="20"/>
          <w:szCs w:val="20"/>
        </w:rPr>
      </w:pPr>
      <w:r>
        <w:rPr>
          <w:sz w:val="20"/>
        </w:rPr>
        <w:t>Susanne Lampl, menedżerka produktu, Business Unit Solar Energy, Fronius International GmbH.</w:t>
      </w:r>
    </w:p>
    <w:p w14:paraId="147D90BB" w14:textId="77777777" w:rsidR="00E723FD" w:rsidRPr="003F0C94" w:rsidRDefault="00E723FD" w:rsidP="002F207D">
      <w:pPr>
        <w:jc w:val="both"/>
        <w:rPr>
          <w:sz w:val="18"/>
          <w:szCs w:val="18"/>
        </w:rPr>
      </w:pPr>
    </w:p>
    <w:p w14:paraId="437671DC" w14:textId="3D786B74" w:rsidR="002F207D" w:rsidRPr="003F0C94" w:rsidRDefault="002F207D" w:rsidP="002F207D">
      <w:pPr>
        <w:jc w:val="both"/>
        <w:rPr>
          <w:sz w:val="18"/>
          <w:szCs w:val="18"/>
        </w:rPr>
      </w:pPr>
    </w:p>
    <w:p w14:paraId="4FBF11FD" w14:textId="7021F05F" w:rsidR="00E723FD" w:rsidRPr="003F0C94" w:rsidRDefault="00E723FD" w:rsidP="002F207D">
      <w:pPr>
        <w:jc w:val="both"/>
        <w:rPr>
          <w:sz w:val="18"/>
          <w:szCs w:val="18"/>
        </w:rPr>
      </w:pPr>
    </w:p>
    <w:p w14:paraId="610F6811" w14:textId="77777777" w:rsidR="00E723FD" w:rsidRPr="003F0C94" w:rsidRDefault="00E723FD" w:rsidP="002F207D">
      <w:pPr>
        <w:jc w:val="both"/>
        <w:rPr>
          <w:sz w:val="18"/>
          <w:szCs w:val="18"/>
        </w:rPr>
      </w:pPr>
    </w:p>
    <w:p w14:paraId="678B5CFF" w14:textId="4C51B011" w:rsidR="00B8257D" w:rsidRPr="00B25C3B" w:rsidRDefault="00B25C3B" w:rsidP="00604BFB">
      <w:pPr>
        <w:jc w:val="both"/>
        <w:rPr>
          <w:i/>
          <w:iCs/>
          <w:sz w:val="18"/>
          <w:szCs w:val="18"/>
        </w:rPr>
      </w:pPr>
      <w:r>
        <w:rPr>
          <w:i/>
          <w:sz w:val="18"/>
        </w:rPr>
        <w:t>Prawa do fotografii: Fronius International GmbH, przedruk możliwy nieodpłatnie</w:t>
      </w:r>
    </w:p>
    <w:p w14:paraId="0C1181E0" w14:textId="77777777" w:rsidR="008C5190" w:rsidRPr="002F207D" w:rsidRDefault="008C5190">
      <w:pPr>
        <w:rPr>
          <w:rFonts w:eastAsiaTheme="majorEastAsia" w:cstheme="majorBidi"/>
          <w:iCs/>
          <w:color w:val="000000" w:themeColor="text1"/>
          <w:sz w:val="20"/>
          <w:szCs w:val="20"/>
        </w:rPr>
      </w:pPr>
    </w:p>
    <w:p w14:paraId="35D157E3" w14:textId="4DE4010E" w:rsidR="00EC6E68" w:rsidRPr="002F207D" w:rsidRDefault="0015484D" w:rsidP="00604BFB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Jednostka biznesowa Solar Energy</w:t>
      </w:r>
    </w:p>
    <w:p w14:paraId="54765B3A" w14:textId="5F441CC0" w:rsidR="0015484D" w:rsidRDefault="0051114E" w:rsidP="00604BFB">
      <w:pPr>
        <w:jc w:val="both"/>
        <w:rPr>
          <w:sz w:val="20"/>
          <w:szCs w:val="20"/>
        </w:rPr>
      </w:pPr>
      <w:r>
        <w:rPr>
          <w:sz w:val="20"/>
        </w:rPr>
        <w:t>Jednostka Biznesowa (BU) Fronius Solar Energy opracowuje rozwiązania energetyczne dla fotowoltaiki od 1992 roku i sprzedaje swoje produkty przez globalną sieć ekspertów: partnerów zajmujących się instalacją, serwisem oraz dystrybutorów. 26 oddziałów na świecie, 89-procentowy wskaźnik eksportu i łączna moc ponad 25 gigawatów zainstalowanych falowników mówią same za siebie. Naszą wielką wizją są „24 godziny słońca”, dlatego firma Fronius pracuje każdego dnia, aby zrealizować tą wizję przyszłości, w której światowe zapotrzebowanie na energię jest zaspokajane w 100% z odnawialnych źródeł. Aby to osiągnąć, firma Fronius opracowuje rozwiązania pozwalające na opłacalne i inteligentne generowanie, gromadzenie, przesyłanie i wykorzystanie energii pochodzącej ze słońca.</w:t>
      </w:r>
    </w:p>
    <w:p w14:paraId="5F3913DA" w14:textId="77777777" w:rsidR="001B4713" w:rsidRDefault="001B4713" w:rsidP="00604BFB">
      <w:pPr>
        <w:jc w:val="both"/>
        <w:rPr>
          <w:sz w:val="20"/>
          <w:szCs w:val="20"/>
        </w:rPr>
      </w:pPr>
    </w:p>
    <w:p w14:paraId="48B19F59" w14:textId="77777777" w:rsidR="0015484D" w:rsidRPr="002F207D" w:rsidRDefault="0015484D" w:rsidP="0015484D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O Fronius International GmbH</w:t>
      </w:r>
    </w:p>
    <w:p w14:paraId="3B731321" w14:textId="530FE237" w:rsidR="0015484D" w:rsidRPr="002F207D" w:rsidRDefault="0015484D" w:rsidP="0015484D">
      <w:pPr>
        <w:jc w:val="both"/>
        <w:rPr>
          <w:sz w:val="20"/>
          <w:szCs w:val="20"/>
        </w:rPr>
      </w:pPr>
      <w:r>
        <w:rPr>
          <w:sz w:val="20"/>
        </w:rPr>
        <w:t>Fronius International to austriackie przedsiębiorstwo rodzinne z siedzibą w Pettenbach oraz zakładami w Wels, Thalheim, Steinhaus i Sattledt. Założone w roku 1945 jako firma jednoosobowa, dziś ma globalny zasięg i zatrudnia ponad 5660 osób, działając na polu spawalnictwa, fotowoltaiki i technologii ładowania akumulatorów. Eksport na poziomie 92% udało się osiągnąć dzięki 36 międzynarodowym spółkom Fronius i partnerom handlowym obecnym w ponad 60 krajach. Innowacyjne produkty oraz usługi, jak również 1321 aktywnych patentów dają firmie Fronius pozycję lidera na rynkach światowych.</w:t>
      </w:r>
    </w:p>
    <w:p w14:paraId="66177D9A" w14:textId="2E3A5D74" w:rsidR="00EC6E68" w:rsidRPr="002F207D" w:rsidRDefault="00EC6E68" w:rsidP="00604BFB">
      <w:pPr>
        <w:jc w:val="both"/>
        <w:rPr>
          <w:sz w:val="20"/>
          <w:szCs w:val="20"/>
        </w:rPr>
      </w:pPr>
    </w:p>
    <w:p w14:paraId="3726E5F6" w14:textId="5D237A81" w:rsidR="00EC6E68" w:rsidRPr="002F207D" w:rsidRDefault="00EC6E68" w:rsidP="0051114E">
      <w:pPr>
        <w:pStyle w:val="berschrift4"/>
        <w:jc w:val="both"/>
        <w:rPr>
          <w:sz w:val="20"/>
          <w:szCs w:val="20"/>
        </w:rPr>
      </w:pPr>
      <w:r>
        <w:rPr>
          <w:sz w:val="20"/>
        </w:rPr>
        <w:t>Kontakt w przypadku zapytań</w:t>
      </w:r>
    </w:p>
    <w:p w14:paraId="23E98C38" w14:textId="1716EFA4" w:rsidR="008C5190" w:rsidRPr="0015484D" w:rsidRDefault="00455012" w:rsidP="0015484D">
      <w:pPr>
        <w:rPr>
          <w:sz w:val="20"/>
          <w:szCs w:val="20"/>
        </w:rPr>
      </w:pPr>
      <w:r>
        <w:rPr>
          <w:sz w:val="20"/>
        </w:rPr>
        <w:t>Fronius International GmbH, mgr Andrea SCHARTNER,</w:t>
      </w:r>
      <w:r>
        <w:rPr>
          <w:sz w:val="20"/>
        </w:rPr>
        <w:br/>
        <w:t xml:space="preserve">+43 664 88536765, </w:t>
      </w:r>
      <w:hyperlink r:id="rId12" w:history="1">
        <w:r>
          <w:rPr>
            <w:rStyle w:val="Hyperlink"/>
            <w:sz w:val="20"/>
          </w:rPr>
          <w:t>schartner.andrea@fronius.com</w:t>
        </w:r>
      </w:hyperlink>
      <w:r>
        <w:rPr>
          <w:sz w:val="20"/>
        </w:rPr>
        <w:t>,</w:t>
      </w:r>
      <w:r>
        <w:rPr>
          <w:sz w:val="20"/>
        </w:rPr>
        <w:br/>
        <w:t>Froniusplatz 1, 4600 Wels, Austria</w:t>
      </w:r>
    </w:p>
    <w:p w14:paraId="0B31E924" w14:textId="09BD8C0B" w:rsidR="008F22F9" w:rsidRPr="008F22F9" w:rsidRDefault="008F22F9" w:rsidP="008F22F9">
      <w:pPr>
        <w:spacing w:before="40" w:after="40" w:line="240" w:lineRule="auto"/>
        <w:rPr>
          <w:sz w:val="20"/>
        </w:rPr>
      </w:pPr>
      <w:r w:rsidRPr="008F22F9">
        <w:rPr>
          <w:sz w:val="20"/>
        </w:rPr>
        <w:lastRenderedPageBreak/>
        <w:t xml:space="preserve">Agnieszka BULENDA, +48 506 450520, </w:t>
      </w:r>
      <w:hyperlink r:id="rId13" w:history="1">
        <w:r w:rsidRPr="008F22F9">
          <w:rPr>
            <w:rStyle w:val="Hyperlink"/>
            <w:sz w:val="20"/>
            <w:szCs w:val="20"/>
          </w:rPr>
          <w:t>bulenda.agnieszka@fronius.com</w:t>
        </w:r>
      </w:hyperlink>
      <w:r w:rsidRPr="008F22F9">
        <w:rPr>
          <w:sz w:val="20"/>
        </w:rPr>
        <w:t>, ul. Gustawa Eiffel`a 8, 44-109 Gliwice, Poland</w:t>
      </w:r>
    </w:p>
    <w:p w14:paraId="47B247E7" w14:textId="77777777" w:rsidR="008F22F9" w:rsidRPr="008F22F9" w:rsidRDefault="008F22F9" w:rsidP="008F22F9">
      <w:pPr>
        <w:rPr>
          <w:bCs/>
          <w:color w:val="000000" w:themeColor="text1"/>
        </w:rPr>
      </w:pPr>
    </w:p>
    <w:p w14:paraId="37577BCB" w14:textId="2C59C6F1" w:rsidR="00455012" w:rsidRDefault="0015484D" w:rsidP="00C52F19">
      <w:pPr>
        <w:spacing w:before="40" w:after="40" w:line="240" w:lineRule="auto"/>
        <w:rPr>
          <w:rStyle w:val="Hyperlink"/>
          <w:sz w:val="20"/>
          <w:szCs w:val="20"/>
        </w:rPr>
      </w:pPr>
      <w:r>
        <w:rPr>
          <w:color w:val="000000" w:themeColor="text1"/>
          <w:sz w:val="20"/>
          <w:u w:val="single"/>
        </w:rPr>
        <w:t>Kopia dokumentu</w:t>
      </w:r>
      <w:r>
        <w:rPr>
          <w:color w:val="000000" w:themeColor="text1"/>
          <w:sz w:val="20"/>
          <w:u w:val="single"/>
        </w:rPr>
        <w:br/>
      </w:r>
      <w:r>
        <w:rPr>
          <w:sz w:val="20"/>
        </w:rPr>
        <w:t>a1kommunikation Schweizer GmbH, Rüdiger KEMPA,</w:t>
      </w:r>
      <w:r>
        <w:rPr>
          <w:sz w:val="20"/>
        </w:rPr>
        <w:br/>
      </w:r>
      <w:hyperlink r:id="rId14" w:history="1">
        <w:r>
          <w:rPr>
            <w:rStyle w:val="Hyperlink"/>
            <w:sz w:val="20"/>
          </w:rPr>
          <w:t>rke@a1kommunikation.de</w:t>
        </w:r>
      </w:hyperlink>
    </w:p>
    <w:p w14:paraId="52B6AFE4" w14:textId="32763BF7" w:rsidR="0001297E" w:rsidRPr="00C52F19" w:rsidRDefault="0001297E" w:rsidP="00C52F19">
      <w:pPr>
        <w:spacing w:before="40" w:after="40" w:line="240" w:lineRule="auto"/>
        <w:rPr>
          <w:color w:val="0563C1" w:themeColor="hyperlink"/>
          <w:sz w:val="20"/>
          <w:szCs w:val="20"/>
          <w:u w:val="single"/>
        </w:rPr>
      </w:pPr>
      <w:r>
        <w:rPr>
          <w:sz w:val="20"/>
        </w:rPr>
        <w:t>Oberdorfstraße 31A, 70794 Filderstadt, Niemcy</w:t>
      </w:r>
    </w:p>
    <w:p w14:paraId="63641C8E" w14:textId="77777777" w:rsidR="00D322C7" w:rsidRDefault="00D322C7" w:rsidP="00604BFB">
      <w:pPr>
        <w:jc w:val="both"/>
        <w:rPr>
          <w:sz w:val="16"/>
          <w:szCs w:val="16"/>
        </w:rPr>
      </w:pPr>
    </w:p>
    <w:p w14:paraId="790215F6" w14:textId="27FF20BB" w:rsidR="00670F02" w:rsidRPr="00604BFB" w:rsidRDefault="00EC6E68" w:rsidP="00604BFB">
      <w:pPr>
        <w:jc w:val="both"/>
        <w:rPr>
          <w:sz w:val="16"/>
          <w:szCs w:val="16"/>
        </w:rPr>
      </w:pPr>
      <w:r>
        <w:rPr>
          <w:sz w:val="16"/>
        </w:rPr>
        <w:t xml:space="preserve">Jeżeli nie chcesz otrzymywać informacji prasowych od firmy Fronius International GmbH, jednostka biznesowa Solar Energy, wyślij słowo UNSUBSCRIBE na adres e-mail </w:t>
      </w:r>
      <w:hyperlink r:id="rId15" w:history="1">
        <w:r>
          <w:rPr>
            <w:rStyle w:val="Hyperlink"/>
            <w:sz w:val="16"/>
          </w:rPr>
          <w:t>cancellation@fronius.com</w:t>
        </w:r>
      </w:hyperlink>
      <w:r>
        <w:rPr>
          <w:sz w:val="16"/>
        </w:rPr>
        <w:t>.</w:t>
      </w:r>
    </w:p>
    <w:sectPr w:rsidR="00670F02" w:rsidRPr="00604BFB">
      <w:headerReference w:type="default" r:id="rId16"/>
      <w:footerReference w:type="default" r:id="rId1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27D3C4" w14:textId="77777777" w:rsidR="00500DE2" w:rsidRDefault="00500DE2" w:rsidP="00B54547">
      <w:pPr>
        <w:spacing w:after="0" w:line="240" w:lineRule="auto"/>
      </w:pPr>
      <w:r>
        <w:separator/>
      </w:r>
    </w:p>
  </w:endnote>
  <w:endnote w:type="continuationSeparator" w:id="0">
    <w:p w14:paraId="016D43B4" w14:textId="77777777" w:rsidR="00500DE2" w:rsidRDefault="00500DE2" w:rsidP="00B545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">
    <w:panose1 w:val="020B0502040504020204"/>
    <w:charset w:val="00"/>
    <w:family w:val="swiss"/>
    <w:pitch w:val="variable"/>
    <w:sig w:usb0="E00082FF" w:usb1="400078F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2E754B" w14:textId="77777777" w:rsidR="00B54547" w:rsidRDefault="00B54547">
    <w:pPr>
      <w:pStyle w:val="Fuzeile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47C6CB22" wp14:editId="1D581076">
              <wp:simplePos x="0" y="0"/>
              <wp:positionH relativeFrom="margin">
                <wp:posOffset>-97155</wp:posOffset>
              </wp:positionH>
              <wp:positionV relativeFrom="page">
                <wp:posOffset>10050145</wp:posOffset>
              </wp:positionV>
              <wp:extent cx="6142355" cy="222885"/>
              <wp:effectExtent l="0" t="0" r="0" b="5715"/>
              <wp:wrapNone/>
              <wp:docPr id="212" name="Textfeld 2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42355" cy="22288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C90CC76" w14:textId="3B5A419D" w:rsidR="00B54547" w:rsidRPr="003D4817" w:rsidRDefault="00B54547" w:rsidP="00B54547">
                          <w:pPr>
                            <w:spacing w:after="0" w:line="293" w:lineRule="auto"/>
                            <w:rPr>
                              <w:rFonts w:cs="Noto Sans"/>
                              <w:sz w:val="12"/>
                              <w:szCs w:val="12"/>
                            </w:rPr>
                          </w:pPr>
                          <w:r>
                            <w:rPr>
                              <w:sz w:val="12"/>
                            </w:rPr>
                            <w:t>Klasa informacji: publiczna</w:t>
                          </w:r>
                        </w:p>
                        <w:p w14:paraId="4A0087EF" w14:textId="77777777" w:rsidR="00B54547" w:rsidRPr="003D4817" w:rsidRDefault="00B54547" w:rsidP="00B54547">
                          <w:pPr>
                            <w:rPr>
                              <w:lang w:val="en-U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6CB22" id="_x0000_t202" coordsize="21600,21600" o:spt="202" path="m,l,21600r21600,l21600,xe">
              <v:stroke joinstyle="miter"/>
              <v:path gradientshapeok="t" o:connecttype="rect"/>
            </v:shapetype>
            <v:shape id="Textfeld 212" o:spid="_x0000_s1026" type="#_x0000_t202" style="position:absolute;margin-left:-7.65pt;margin-top:791.35pt;width:483.65pt;height:17.5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" filled="f" stroked="f" strokeweight=".5pt">
              <v:textbox>
                <w:txbxContent>
                  <w:p w14:paraId="2C90CC76" w14:textId="3B5A419D" w:rsidR="00B54547" w:rsidRPr="003D4817" w:rsidRDefault="00B54547" w:rsidP="00B54547">
                    <w:pPr>
                      <w:spacing w:after="0" w:line="293" w:lineRule="auto"/>
                      <w:rPr>
                        <w:sz w:val="12"/>
                        <w:szCs w:val="12"/>
                        <w:rFonts w:cs="Noto Sans"/>
                      </w:rPr>
                    </w:pPr>
                    <w:r>
                      <w:rPr>
                        <w:sz w:val="12"/>
                      </w:rPr>
                      <w:t xml:space="preserve">Klasa informacji: publiczna</w:t>
                    </w:r>
                  </w:p>
                  <w:p w14:paraId="4A0087EF" w14:textId="77777777" w:rsidR="00B54547" w:rsidRPr="003D4817" w:rsidRDefault="00B54547" w:rsidP="00B54547">
                    <w:pPr>
                      <w:rPr>
                        <w:lang w:val="en-US"/>
                      </w:rPr>
                    </w:pPr>
                  </w:p>
                </w:txbxContent>
              </v:textbox>
              <w10:wrap anchorx="margin" anchory="page"/>
              <w10:anchorlock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F3A87F" w14:textId="77777777" w:rsidR="00500DE2" w:rsidRDefault="00500DE2" w:rsidP="00B54547">
      <w:pPr>
        <w:spacing w:after="0" w:line="240" w:lineRule="auto"/>
      </w:pPr>
      <w:r>
        <w:separator/>
      </w:r>
    </w:p>
  </w:footnote>
  <w:footnote w:type="continuationSeparator" w:id="0">
    <w:p w14:paraId="6ADD097B" w14:textId="77777777" w:rsidR="00500DE2" w:rsidRDefault="00500DE2" w:rsidP="00B545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43FFC" w14:textId="77777777" w:rsidR="00C921A2" w:rsidRDefault="00C921A2">
    <w:pPr>
      <w:pStyle w:val="Kopfzeile"/>
    </w:pPr>
    <w:r>
      <w:rPr>
        <w:noProof/>
        <w:sz w:val="20"/>
      </w:rPr>
      <w:drawing>
        <wp:anchor distT="0" distB="0" distL="114300" distR="114300" simplePos="0" relativeHeight="251661312" behindDoc="1" locked="0" layoutInCell="1" allowOverlap="1" wp14:anchorId="5FC2FB44" wp14:editId="562E42D5">
          <wp:simplePos x="0" y="0"/>
          <wp:positionH relativeFrom="column">
            <wp:posOffset>5049795</wp:posOffset>
          </wp:positionH>
          <wp:positionV relativeFrom="paragraph">
            <wp:posOffset>-99489</wp:posOffset>
          </wp:positionV>
          <wp:extent cx="1260000" cy="369527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0000" cy="3695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27EA8"/>
    <w:multiLevelType w:val="hybridMultilevel"/>
    <w:tmpl w:val="85D4B346"/>
    <w:lvl w:ilvl="0" w:tplc="0C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C1A4B"/>
    <w:multiLevelType w:val="hybridMultilevel"/>
    <w:tmpl w:val="219A8170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9839EB"/>
    <w:multiLevelType w:val="hybridMultilevel"/>
    <w:tmpl w:val="53CC44D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745421"/>
    <w:multiLevelType w:val="hybridMultilevel"/>
    <w:tmpl w:val="88189DA6"/>
    <w:lvl w:ilvl="0" w:tplc="65D89096">
      <w:start w:val="1"/>
      <w:numFmt w:val="bullet"/>
      <w:pStyle w:val="Headline1-MG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C045AC"/>
    <w:multiLevelType w:val="hybridMultilevel"/>
    <w:tmpl w:val="3C68EA64"/>
    <w:lvl w:ilvl="0" w:tplc="0C070001">
      <w:start w:val="1"/>
      <w:numFmt w:val="bullet"/>
      <w:lvlText w:val=""/>
      <w:lvlJc w:val="left"/>
      <w:pPr>
        <w:ind w:left="107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5" w15:restartNumberingAfterBreak="0">
    <w:nsid w:val="40A70265"/>
    <w:multiLevelType w:val="hybridMultilevel"/>
    <w:tmpl w:val="2DC068E6"/>
    <w:lvl w:ilvl="0" w:tplc="15E071F2">
      <w:start w:val="1"/>
      <w:numFmt w:val="bullet"/>
      <w:lvlText w:val=""/>
      <w:lvlJc w:val="left"/>
      <w:pPr>
        <w:ind w:left="1797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517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3237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957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677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397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6117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837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557" w:hanging="360"/>
      </w:pPr>
      <w:rPr>
        <w:rFonts w:ascii="Wingdings" w:hAnsi="Wingdings" w:hint="default"/>
      </w:rPr>
    </w:lvl>
  </w:abstractNum>
  <w:abstractNum w:abstractNumId="6" w15:restartNumberingAfterBreak="0">
    <w:nsid w:val="48A80E1B"/>
    <w:multiLevelType w:val="hybridMultilevel"/>
    <w:tmpl w:val="840C605C"/>
    <w:lvl w:ilvl="0" w:tplc="0C070001">
      <w:start w:val="1"/>
      <w:numFmt w:val="bullet"/>
      <w:lvlText w:val=""/>
      <w:lvlJc w:val="left"/>
      <w:pPr>
        <w:ind w:left="1438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2158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878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598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4318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5038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758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478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7198" w:hanging="360"/>
      </w:pPr>
      <w:rPr>
        <w:rFonts w:ascii="Wingdings" w:hAnsi="Wingdings" w:hint="default"/>
      </w:rPr>
    </w:lvl>
  </w:abstractNum>
  <w:abstractNum w:abstractNumId="7" w15:restartNumberingAfterBreak="0">
    <w:nsid w:val="62286B4C"/>
    <w:multiLevelType w:val="hybridMultilevel"/>
    <w:tmpl w:val="17242074"/>
    <w:lvl w:ilvl="0" w:tplc="15E071F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4"/>
  </w:num>
  <w:num w:numId="4">
    <w:abstractNumId w:val="6"/>
  </w:num>
  <w:num w:numId="5">
    <w:abstractNumId w:val="5"/>
  </w:num>
  <w:num w:numId="6">
    <w:abstractNumId w:val="1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549"/>
    <w:rsid w:val="0000194C"/>
    <w:rsid w:val="0001297E"/>
    <w:rsid w:val="000152FA"/>
    <w:rsid w:val="00030C3B"/>
    <w:rsid w:val="00056836"/>
    <w:rsid w:val="00064C19"/>
    <w:rsid w:val="00097F92"/>
    <w:rsid w:val="000F20D9"/>
    <w:rsid w:val="00102F0B"/>
    <w:rsid w:val="001221D1"/>
    <w:rsid w:val="0015484D"/>
    <w:rsid w:val="001668E3"/>
    <w:rsid w:val="001742A0"/>
    <w:rsid w:val="00182ABE"/>
    <w:rsid w:val="00196F99"/>
    <w:rsid w:val="001A34C4"/>
    <w:rsid w:val="001B4713"/>
    <w:rsid w:val="00242733"/>
    <w:rsid w:val="0024308B"/>
    <w:rsid w:val="00253496"/>
    <w:rsid w:val="00282219"/>
    <w:rsid w:val="00282F7B"/>
    <w:rsid w:val="002A39B1"/>
    <w:rsid w:val="002D0988"/>
    <w:rsid w:val="002D620C"/>
    <w:rsid w:val="002D7A44"/>
    <w:rsid w:val="002E4785"/>
    <w:rsid w:val="002F207D"/>
    <w:rsid w:val="003405C8"/>
    <w:rsid w:val="00361BAB"/>
    <w:rsid w:val="0036224A"/>
    <w:rsid w:val="003B4A45"/>
    <w:rsid w:val="003D4B8E"/>
    <w:rsid w:val="003E6855"/>
    <w:rsid w:val="003F0C94"/>
    <w:rsid w:val="00403C78"/>
    <w:rsid w:val="00410DAD"/>
    <w:rsid w:val="00424297"/>
    <w:rsid w:val="00435EB8"/>
    <w:rsid w:val="004420B7"/>
    <w:rsid w:val="00451F65"/>
    <w:rsid w:val="00455012"/>
    <w:rsid w:val="00470A9D"/>
    <w:rsid w:val="0049392F"/>
    <w:rsid w:val="00500DE2"/>
    <w:rsid w:val="0051114E"/>
    <w:rsid w:val="00512C4C"/>
    <w:rsid w:val="00535E04"/>
    <w:rsid w:val="00542018"/>
    <w:rsid w:val="00582BF5"/>
    <w:rsid w:val="005958B0"/>
    <w:rsid w:val="005A26BF"/>
    <w:rsid w:val="00604BFB"/>
    <w:rsid w:val="00606028"/>
    <w:rsid w:val="00670F02"/>
    <w:rsid w:val="006D2AEF"/>
    <w:rsid w:val="006D462C"/>
    <w:rsid w:val="006D6430"/>
    <w:rsid w:val="00703F47"/>
    <w:rsid w:val="00716778"/>
    <w:rsid w:val="00730C60"/>
    <w:rsid w:val="00755473"/>
    <w:rsid w:val="00765AC0"/>
    <w:rsid w:val="007A57E3"/>
    <w:rsid w:val="007C61B7"/>
    <w:rsid w:val="007E3E5C"/>
    <w:rsid w:val="007F1F01"/>
    <w:rsid w:val="007F6251"/>
    <w:rsid w:val="00816914"/>
    <w:rsid w:val="008243CF"/>
    <w:rsid w:val="00824AA5"/>
    <w:rsid w:val="00831633"/>
    <w:rsid w:val="008404EE"/>
    <w:rsid w:val="008860E2"/>
    <w:rsid w:val="008955A6"/>
    <w:rsid w:val="008C5190"/>
    <w:rsid w:val="008D384B"/>
    <w:rsid w:val="008E1774"/>
    <w:rsid w:val="008E264C"/>
    <w:rsid w:val="008F22F9"/>
    <w:rsid w:val="008F4ED5"/>
    <w:rsid w:val="00900C18"/>
    <w:rsid w:val="00906679"/>
    <w:rsid w:val="00944333"/>
    <w:rsid w:val="00960B04"/>
    <w:rsid w:val="00962B6D"/>
    <w:rsid w:val="00963BB4"/>
    <w:rsid w:val="00965015"/>
    <w:rsid w:val="009A0CD9"/>
    <w:rsid w:val="00A27D32"/>
    <w:rsid w:val="00A66F74"/>
    <w:rsid w:val="00A94A9B"/>
    <w:rsid w:val="00AB3B58"/>
    <w:rsid w:val="00AE7975"/>
    <w:rsid w:val="00B217F4"/>
    <w:rsid w:val="00B23B1E"/>
    <w:rsid w:val="00B25C3B"/>
    <w:rsid w:val="00B309A8"/>
    <w:rsid w:val="00B422E6"/>
    <w:rsid w:val="00B52F2E"/>
    <w:rsid w:val="00B54547"/>
    <w:rsid w:val="00B8257D"/>
    <w:rsid w:val="00BE27A5"/>
    <w:rsid w:val="00C1074C"/>
    <w:rsid w:val="00C17BEE"/>
    <w:rsid w:val="00C35E5E"/>
    <w:rsid w:val="00C44B9C"/>
    <w:rsid w:val="00C52F19"/>
    <w:rsid w:val="00C921A2"/>
    <w:rsid w:val="00CB1448"/>
    <w:rsid w:val="00CC0612"/>
    <w:rsid w:val="00CC1139"/>
    <w:rsid w:val="00CD1E72"/>
    <w:rsid w:val="00D0522E"/>
    <w:rsid w:val="00D14FE0"/>
    <w:rsid w:val="00D322C7"/>
    <w:rsid w:val="00D4343E"/>
    <w:rsid w:val="00D54D23"/>
    <w:rsid w:val="00D77E57"/>
    <w:rsid w:val="00DE201A"/>
    <w:rsid w:val="00DF5290"/>
    <w:rsid w:val="00E2626F"/>
    <w:rsid w:val="00E723FD"/>
    <w:rsid w:val="00E83DD7"/>
    <w:rsid w:val="00E9591C"/>
    <w:rsid w:val="00EA26EC"/>
    <w:rsid w:val="00EC6E68"/>
    <w:rsid w:val="00ED5549"/>
    <w:rsid w:val="00F12293"/>
    <w:rsid w:val="00F26BCD"/>
    <w:rsid w:val="00F47E87"/>
    <w:rsid w:val="00FD0EE7"/>
    <w:rsid w:val="00FD50E0"/>
    <w:rsid w:val="00FE3F42"/>
    <w:rsid w:val="00FE5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FC8BC6"/>
  <w15:chartTrackingRefBased/>
  <w15:docId w15:val="{5066E15E-C143-4638-AA7D-5071D9CB4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D7A44"/>
    <w:rPr>
      <w:rFonts w:ascii="Noto Sans" w:hAnsi="Noto Sans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2D7A44"/>
    <w:pPr>
      <w:keepNext/>
      <w:keepLines/>
      <w:spacing w:before="240" w:after="0"/>
      <w:outlineLvl w:val="0"/>
    </w:pPr>
    <w:rPr>
      <w:rFonts w:eastAsiaTheme="majorEastAsia" w:cstheme="majorBidi"/>
      <w:color w:val="D73237"/>
      <w:sz w:val="36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3E6855"/>
    <w:pPr>
      <w:keepNext/>
      <w:keepLines/>
      <w:spacing w:before="40" w:after="0"/>
      <w:outlineLvl w:val="1"/>
    </w:pPr>
    <w:rPr>
      <w:rFonts w:eastAsiaTheme="majorEastAsia" w:cstheme="majorBidi"/>
      <w:color w:val="D73237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3E6855"/>
    <w:pPr>
      <w:keepNext/>
      <w:keepLines/>
      <w:spacing w:before="40" w:after="0"/>
      <w:outlineLvl w:val="2"/>
    </w:pPr>
    <w:rPr>
      <w:rFonts w:eastAsiaTheme="majorEastAsia" w:cstheme="majorBidi"/>
      <w:color w:val="D73237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rsid w:val="00670F02"/>
    <w:pPr>
      <w:keepNext/>
      <w:keepLines/>
      <w:spacing w:before="40" w:after="0"/>
      <w:outlineLvl w:val="3"/>
    </w:pPr>
    <w:rPr>
      <w:rFonts w:eastAsiaTheme="majorEastAsia" w:cstheme="majorBidi"/>
      <w:iCs/>
      <w:color w:val="000000" w:themeColor="text1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rsid w:val="002D7A44"/>
    <w:pPr>
      <w:spacing w:after="0" w:line="240" w:lineRule="auto"/>
    </w:pPr>
    <w:rPr>
      <w:rFonts w:ascii="Noto Sans" w:hAnsi="Noto Sans"/>
    </w:rPr>
  </w:style>
  <w:style w:type="paragraph" w:styleId="Titel">
    <w:name w:val="Title"/>
    <w:basedOn w:val="Standard"/>
    <w:next w:val="Standard"/>
    <w:link w:val="TitelZchn"/>
    <w:uiPriority w:val="10"/>
    <w:qFormat/>
    <w:rsid w:val="002D7A44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2D7A44"/>
    <w:rPr>
      <w:rFonts w:ascii="Noto Sans" w:eastAsiaTheme="majorEastAsia" w:hAnsi="Noto Sans" w:cstheme="majorBidi"/>
      <w:spacing w:val="-10"/>
      <w:kern w:val="28"/>
      <w:sz w:val="56"/>
      <w:szCs w:val="56"/>
    </w:rPr>
  </w:style>
  <w:style w:type="paragraph" w:styleId="Listenabsatz">
    <w:name w:val="List Paragraph"/>
    <w:basedOn w:val="Standard"/>
    <w:link w:val="ListenabsatzZchn"/>
    <w:uiPriority w:val="34"/>
    <w:qFormat/>
    <w:rsid w:val="002D7A44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2D7A44"/>
    <w:rPr>
      <w:rFonts w:ascii="Noto Sans" w:eastAsiaTheme="majorEastAsia" w:hAnsi="Noto Sans" w:cstheme="majorBidi"/>
      <w:color w:val="D73237"/>
      <w:sz w:val="36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E6855"/>
    <w:rPr>
      <w:rFonts w:ascii="Noto Sans" w:eastAsiaTheme="majorEastAsia" w:hAnsi="Noto Sans" w:cstheme="majorBidi"/>
      <w:color w:val="D73237"/>
      <w:sz w:val="28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3E6855"/>
    <w:rPr>
      <w:rFonts w:ascii="Noto Sans" w:eastAsiaTheme="majorEastAsia" w:hAnsi="Noto Sans" w:cstheme="majorBidi"/>
      <w:color w:val="D73237"/>
      <w:sz w:val="24"/>
      <w:szCs w:val="24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670F02"/>
    <w:rPr>
      <w:rFonts w:ascii="Noto Sans" w:eastAsiaTheme="majorEastAsia" w:hAnsi="Noto Sans" w:cstheme="majorBidi"/>
      <w:iCs/>
      <w:color w:val="000000" w:themeColor="text1"/>
      <w:u w:val="single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E6855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E6855"/>
    <w:rPr>
      <w:rFonts w:ascii="Noto Sans" w:eastAsiaTheme="minorEastAsia" w:hAnsi="Noto Sans"/>
      <w:color w:val="5A5A5A" w:themeColor="text1" w:themeTint="A5"/>
      <w:spacing w:val="15"/>
    </w:rPr>
  </w:style>
  <w:style w:type="character" w:styleId="IntensiverVerweis">
    <w:name w:val="Intense Reference"/>
    <w:basedOn w:val="Absatz-Standardschriftart"/>
    <w:uiPriority w:val="32"/>
    <w:qFormat/>
    <w:rsid w:val="001668E3"/>
    <w:rPr>
      <w:b/>
      <w:bCs/>
      <w:smallCaps/>
      <w:color w:val="D73237"/>
      <w:spacing w:val="5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6D6430"/>
    <w:pPr>
      <w:pBdr>
        <w:top w:val="single" w:sz="4" w:space="10" w:color="D73237"/>
        <w:bottom w:val="single" w:sz="4" w:space="10" w:color="D73237"/>
      </w:pBdr>
      <w:spacing w:before="360" w:after="360"/>
      <w:ind w:left="864" w:right="864"/>
      <w:jc w:val="center"/>
    </w:pPr>
    <w:rPr>
      <w:i/>
      <w:iCs/>
      <w:color w:val="D73237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6D6430"/>
    <w:rPr>
      <w:rFonts w:ascii="Noto Sans" w:hAnsi="Noto Sans"/>
      <w:i/>
      <w:iCs/>
      <w:color w:val="D73237"/>
    </w:rPr>
  </w:style>
  <w:style w:type="paragraph" w:styleId="Kopfzeile">
    <w:name w:val="header"/>
    <w:basedOn w:val="Standard"/>
    <w:link w:val="KopfzeileZchn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54547"/>
    <w:rPr>
      <w:rFonts w:ascii="Noto Sans" w:hAnsi="Noto Sans"/>
    </w:rPr>
  </w:style>
  <w:style w:type="paragraph" w:styleId="Fuzeile">
    <w:name w:val="footer"/>
    <w:basedOn w:val="Standard"/>
    <w:link w:val="FuzeileZchn"/>
    <w:uiPriority w:val="99"/>
    <w:unhideWhenUsed/>
    <w:rsid w:val="00B545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54547"/>
    <w:rPr>
      <w:rFonts w:ascii="Noto Sans" w:hAnsi="Noto Sans"/>
    </w:rPr>
  </w:style>
  <w:style w:type="paragraph" w:customStyle="1" w:styleId="Headline1-MG">
    <w:name w:val="Headline 1 - MG"/>
    <w:next w:val="Standard"/>
    <w:link w:val="Headline1-MGZchn"/>
    <w:rsid w:val="006D6430"/>
    <w:pPr>
      <w:numPr>
        <w:numId w:val="7"/>
      </w:numPr>
    </w:pPr>
    <w:rPr>
      <w:rFonts w:ascii="Noto Sans" w:eastAsiaTheme="majorEastAsia" w:hAnsi="Noto Sans" w:cstheme="majorBidi"/>
      <w:color w:val="B4C3AA"/>
      <w:sz w:val="36"/>
      <w:szCs w:val="32"/>
    </w:rPr>
  </w:style>
  <w:style w:type="paragraph" w:customStyle="1" w:styleId="HeadlineGreen">
    <w:name w:val="Headline Green"/>
    <w:basedOn w:val="berschrift1"/>
    <w:next w:val="Standard"/>
    <w:link w:val="HeadlineGreenZchn"/>
    <w:qFormat/>
    <w:rsid w:val="00703F47"/>
    <w:rPr>
      <w:color w:val="B4C3AA"/>
    </w:rPr>
  </w:style>
  <w:style w:type="character" w:customStyle="1" w:styleId="ListenabsatzZchn">
    <w:name w:val="Listenabsatz Zchn"/>
    <w:basedOn w:val="Absatz-Standardschriftart"/>
    <w:link w:val="Listenabsatz"/>
    <w:uiPriority w:val="34"/>
    <w:rsid w:val="006D6430"/>
    <w:rPr>
      <w:rFonts w:ascii="Noto Sans" w:hAnsi="Noto Sans"/>
    </w:rPr>
  </w:style>
  <w:style w:type="character" w:customStyle="1" w:styleId="Headline1-MGZchn">
    <w:name w:val="Headline 1 - MG Zchn"/>
    <w:basedOn w:val="ListenabsatzZchn"/>
    <w:link w:val="Headline1-MG"/>
    <w:rsid w:val="006D6430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customStyle="1" w:styleId="HeadlineGreenZchn">
    <w:name w:val="Headline Green Zchn"/>
    <w:basedOn w:val="Absatz-Standardschriftart"/>
    <w:link w:val="HeadlineGreen"/>
    <w:rsid w:val="00703F47"/>
    <w:rPr>
      <w:rFonts w:ascii="Noto Sans" w:eastAsiaTheme="majorEastAsia" w:hAnsi="Noto Sans" w:cstheme="majorBidi"/>
      <w:color w:val="B4C3AA"/>
      <w:sz w:val="36"/>
      <w:szCs w:val="32"/>
      <w:lang w:val="pl-PL"/>
    </w:rPr>
  </w:style>
  <w:style w:type="character" w:styleId="Hyperlink">
    <w:name w:val="Hyperlink"/>
    <w:basedOn w:val="Absatz-Standardschriftart"/>
    <w:uiPriority w:val="99"/>
    <w:unhideWhenUsed/>
    <w:rsid w:val="00EC6E68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EC6E68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1742A0"/>
    <w:rPr>
      <w:b/>
      <w:bCs/>
    </w:rPr>
  </w:style>
  <w:style w:type="character" w:styleId="Kommentarzeichen">
    <w:name w:val="annotation reference"/>
    <w:basedOn w:val="Absatz-Standardschriftart"/>
    <w:uiPriority w:val="99"/>
    <w:semiHidden/>
    <w:unhideWhenUsed/>
    <w:rsid w:val="00BE27A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BE27A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BE27A5"/>
    <w:rPr>
      <w:rFonts w:ascii="Noto Sans" w:hAnsi="Noto Sans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BE27A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BE27A5"/>
    <w:rPr>
      <w:rFonts w:ascii="Noto Sans" w:hAnsi="Noto Sans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BE27A5"/>
    <w:pPr>
      <w:spacing w:after="0" w:line="240" w:lineRule="auto"/>
    </w:pPr>
    <w:rPr>
      <w:rFonts w:ascii="Noto Sans" w:hAnsi="Noto Sans"/>
    </w:rPr>
  </w:style>
  <w:style w:type="paragraph" w:styleId="StandardWeb">
    <w:name w:val="Normal (Web)"/>
    <w:basedOn w:val="Standard"/>
    <w:uiPriority w:val="99"/>
    <w:semiHidden/>
    <w:unhideWhenUsed/>
    <w:rsid w:val="00E26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AT"/>
    </w:rPr>
  </w:style>
  <w:style w:type="character" w:styleId="Hervorhebung">
    <w:name w:val="Emphasis"/>
    <w:basedOn w:val="Absatz-Standardschriftart"/>
    <w:uiPriority w:val="20"/>
    <w:qFormat/>
    <w:rsid w:val="00E2626F"/>
    <w:rPr>
      <w:i/>
      <w:iCs/>
    </w:rPr>
  </w:style>
  <w:style w:type="paragraph" w:styleId="Zitat">
    <w:name w:val="Quote"/>
    <w:basedOn w:val="Standard"/>
    <w:next w:val="Standard"/>
    <w:link w:val="ZitatZchn"/>
    <w:uiPriority w:val="29"/>
    <w:qFormat/>
    <w:rsid w:val="00E2626F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E2626F"/>
    <w:rPr>
      <w:rFonts w:ascii="Noto Sans" w:hAnsi="Noto Sans"/>
      <w:i/>
      <w:iCs/>
      <w:color w:val="404040" w:themeColor="text1" w:themeTint="BF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568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5683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90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bulenda.agnieszka@fronius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customXml" Target="../customXml/item2.xml"/><Relationship Id="rId7" Type="http://schemas.openxmlformats.org/officeDocument/2006/relationships/hyperlink" Target="https://solar.htw-berlin.de/studien/speicher-inspektion-2022/" TargetMode="External"/><Relationship Id="rId12" Type="http://schemas.openxmlformats.org/officeDocument/2006/relationships/hyperlink" Target="mailto:schartner.andrea@fronius.com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20" Type="http://schemas.openxmlformats.org/officeDocument/2006/relationships/customXml" Target="../customXml/item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customXml" Target="../customXml/item5.xml"/><Relationship Id="rId5" Type="http://schemas.openxmlformats.org/officeDocument/2006/relationships/footnotes" Target="footnotes.xml"/><Relationship Id="rId15" Type="http://schemas.openxmlformats.org/officeDocument/2006/relationships/hyperlink" Target="mailto:cancellation@fronius.com" TargetMode="External"/><Relationship Id="rId23" Type="http://schemas.openxmlformats.org/officeDocument/2006/relationships/customXml" Target="../customXml/item4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hyperlink" Target="mailto:rke@a1kommunikation.de" TargetMode="External"/><Relationship Id="rId22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DE_Standardvorlag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Stromspeicherinspektion 2022/04</title_TI_DE>
    <title_TI_NO xmlns="dc0c2c3d-e9fc-4a0d-820b-87ab82e65f20">Energy storage inspection 2022/04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Energy storage inspection 2022/04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Energy storage inspection 2022/04</title_TI_TH>
    <Licence_x0020_information xmlns="dc0c2c3d-e9fc-4a0d-820b-87ab82e65f20">(c) Fronius International</Licence_x0020_information>
    <title_TI_EA xmlns="dc0c2c3d-e9fc-4a0d-820b-87ab82e65f20">Energy storage inspection 2022/04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#PL</TermName>
          <TermId xmlns="http://schemas.microsoft.com/office/infopath/2007/PartnerControls">e387e492-5c5c-46b1-8f24-94df37df350f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Energy storage inspection 2022/04</title_TI_DA>
    <Documenttype_TR xmlns="dc0c2c3d-e9fc-4a0d-820b-87ab82e65f20">Basın bülteni</Documenttype_TR>
    <title_TI_PL xmlns="dc0c2c3d-e9fc-4a0d-820b-87ab82e65f20">Energy storage inspection 2022/04</title_TI_PL>
    <Documenttype_TH xmlns="dc0c2c3d-e9fc-4a0d-820b-87ab82e65f20">ข่าวประชาสัมพันธ์</Documenttype_TH>
    <title_TI_EL xmlns="dc0c2c3d-e9fc-4a0d-820b-87ab82e65f20">Energy storage inspection 2022/04</title_TI_EL>
    <Documenttype_EA xmlns="dc0c2c3d-e9fc-4a0d-820b-87ab82e65f20">Press Release</Documenttype_EA>
    <Web_x0020_Display_x0020_Title_x0020_ET xmlns="dc0c2c3d-e9fc-4a0d-820b-87ab82e65f20">Energy storage inspection 2022/04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Energy storage inspection 2022/04</title_TI_FR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Energy storage inspection 2022/04</title_TI_SV>
    <Documenttype_PL xmlns="dc0c2c3d-e9fc-4a0d-820b-87ab82e65f20">Informacja prasowe</Documenttype_PL>
    <VersionInternal xmlns="dc0c2c3d-e9fc-4a0d-820b-87ab82e65f20">1</VersionInternal>
    <Update xmlns="dc0c2c3d-e9fc-4a0d-820b-87ab82e65f20" xsi:nil="true"/>
    <FSM xmlns="dc0c2c3d-e9fc-4a0d-820b-87ab82e65f20">No</FSM>
    <FileMaster xmlns="dc0c2c3d-e9fc-4a0d-820b-87ab82e65f20" xsi:nil="true"/>
    <title_TI_NL xmlns="dc0c2c3d-e9fc-4a0d-820b-87ab82e65f20">Energy storage inspection 2022/04</title_TI_NL>
    <contentservId xmlns="c4543867-fb67-4424-a255-4d54d75e50e3">C-138958</contentservId>
    <title_TI_IT xmlns="dc0c2c3d-e9fc-4a0d-820b-87ab82e65f20">Energy storage inspection 2022/04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Energy storage inspection 2022/04</title_TI_UA>
    <title_TI_JP xmlns="dc0c2c3d-e9fc-4a0d-820b-87ab82e65f20">Energy storage inspection 2022/04</title_TI_JP>
    <Documenttype_NL xmlns="dc0c2c3d-e9fc-4a0d-820b-87ab82e65f20">Persbericht</Documenttype_NL>
    <title_TI_RO xmlns="dc0c2c3d-e9fc-4a0d-820b-87ab82e65f20">Energy storage inspection 2022/04</title_TI_RO>
    <Documenttype_NB xmlns="c4543867-fb67-4424-a255-4d54d75e50e3">Presseinformasjon</Documenttype_NB>
    <title_ti_nb xmlns="dc0c2c3d-e9fc-4a0d-820b-87ab82e65f20" xsi:nil="true"/>
    <title_TI_ES xmlns="dc0c2c3d-e9fc-4a0d-820b-87ab82e65f20">Energy storage inspection 2022/04</title_TI_ES>
    <title_TI_JA xmlns="dc0c2c3d-e9fc-4a0d-820b-87ab82e65f20">Energy storage inspection 2022/04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1</Value>
      <Value>258</Value>
    </TaxCatchAll>
    <AGB xmlns="dc0c2c3d-e9fc-4a0d-820b-87ab82e65f20">false</AGB>
    <title_TI_EN xmlns="dc0c2c3d-e9fc-4a0d-820b-87ab82e65f20">Energy storage inspection 2022/04</title_TI_EN>
    <MRMKeyWords xmlns="dc0c2c3d-e9fc-4a0d-820b-87ab82e65f20">#Presse#Presseaussendung#Strom#GEN24#GEN24 Plus#press#press release#current#presse#presseaussendung#pressrelease#strom#gen24#gen24plus#</MRMKeyWords>
    <title_ti_zh xmlns="dc0c2c3d-e9fc-4a0d-820b-87ab82e65f20">Energy storage inspection 2022/04</title_ti_zh>
    <MRMID xmlns="dc0c2c3d-e9fc-4a0d-820b-87ab82e65f20">M-182537</MRMID>
    <Documenttype_UK xmlns="c4543867-fb67-4424-a255-4d54d75e50e3">Прес-релізи</Documenttype_UK>
    <title_TI_SK xmlns="dc0c2c3d-e9fc-4a0d-820b-87ab82e65f20">Energy storage inspection 2022/04</title_TI_SK>
    <Documenttype_UA xmlns="dc0c2c3d-e9fc-4a0d-820b-87ab82e65f20">Прес-релізи</Documenttype_UA>
    <title_TI_HU xmlns="dc0c2c3d-e9fc-4a0d-820b-87ab82e65f20">Energy storage inspection 2022/04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Energy storage inspection 2022/04</title_TI_PT>
    <title_ti_fi xmlns="dc0c2c3d-e9fc-4a0d-820b-87ab82e65f20">Energy storage inspection 2022/04</title_ti_fi>
    <Country xmlns="dc0c2c3d-e9fc-4a0d-820b-87ab82e65f20">
      <Value>31</Value>
    </Country>
    <fro_spid xmlns="dc0c2c3d-e9fc-4a0d-820b-87ab82e65f20">8667;SE</fro_spid>
    <title_TI_RU xmlns="dc0c2c3d-e9fc-4a0d-820b-87ab82e65f20">Energy storage inspection 2022/04</title_TI_RU>
    <Documenttype_JA xmlns="dc0c2c3d-e9fc-4a0d-820b-87ab82e65f20">ニュースリリース</Documenttype_JA>
    <Colour_x0020_space xmlns="dc0c2c3d-e9fc-4a0d-820b-87ab82e65f20" xsi:nil="true"/>
    <title_TI_CS xmlns="dc0c2c3d-e9fc-4a0d-820b-87ab82e65f20">Energy storage inspection 2022/04</title_TI_CS>
    <title_TI_AR xmlns="dc0c2c3d-e9fc-4a0d-820b-87ab82e65f20">Energy storage inspection 2022/04</title_TI_AR>
  </documentManagement>
</p:properties>
</file>

<file path=customXml/itemProps1.xml><?xml version="1.0" encoding="utf-8"?>
<ds:datastoreItem xmlns:ds="http://schemas.openxmlformats.org/officeDocument/2006/customXml" ds:itemID="{3798431A-B60A-45F0-A647-93C598CE734C}"/>
</file>

<file path=customXml/itemProps2.xml><?xml version="1.0" encoding="utf-8"?>
<ds:datastoreItem xmlns:ds="http://schemas.openxmlformats.org/officeDocument/2006/customXml" ds:itemID="{B404C208-6837-46F7-A806-3D56543F0856}"/>
</file>

<file path=customXml/itemProps3.xml><?xml version="1.0" encoding="utf-8"?>
<ds:datastoreItem xmlns:ds="http://schemas.openxmlformats.org/officeDocument/2006/customXml" ds:itemID="{6C36E79D-7C43-4497-BC3E-7BF79961A4B5}"/>
</file>

<file path=customXml/itemProps4.xml><?xml version="1.0" encoding="utf-8"?>
<ds:datastoreItem xmlns:ds="http://schemas.openxmlformats.org/officeDocument/2006/customXml" ds:itemID="{296E93DE-8287-4E6D-B9CF-14304F895E5D}"/>
</file>

<file path=customXml/itemProps5.xml><?xml version="1.0" encoding="utf-8"?>
<ds:datastoreItem xmlns:ds="http://schemas.openxmlformats.org/officeDocument/2006/customXml" ds:itemID="{C7FC8330-56F5-40C8-9429-17A51D746BDE}"/>
</file>

<file path=docProps/app.xml><?xml version="1.0" encoding="utf-8"?>
<Properties xmlns="http://schemas.openxmlformats.org/officeDocument/2006/extended-properties" xmlns:vt="http://schemas.openxmlformats.org/officeDocument/2006/docPropsVTypes">
  <Template>DE_Standardvorlage.dotx</Template>
  <TotalTime>0</TotalTime>
  <Pages>4</Pages>
  <Words>882</Words>
  <Characters>5559</Characters>
  <Application>Microsoft Office Word</Application>
  <DocSecurity>0</DocSecurity>
  <Lines>46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SE_PR_Energy_storage_inspection_PL</dc:title>
  <dc:subject/>
  <dc:creator>Kneringer Daniel</dc:creator>
  <cp:keywords/>
  <dc:description/>
  <cp:lastModifiedBy>Majetic Kristina</cp:lastModifiedBy>
  <cp:revision>4</cp:revision>
  <cp:lastPrinted>2022-03-23T08:51:00Z</cp:lastPrinted>
  <dcterms:created xsi:type="dcterms:W3CDTF">2022-04-20T09:37:00Z</dcterms:created>
  <dcterms:modified xsi:type="dcterms:W3CDTF">2022-04-25T05:18:00Z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0x010100D81D3A5E066A7C4C894BF34B3C71E9830078818E860836564580539BE5C2186B8E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fro_PartnerRoles">
    <vt:lpwstr/>
  </property>
  <property fmtid="{D5CDD505-2E9C-101B-9397-08002B2CF9AE}" pid="8" name="Language">
    <vt:lpwstr>258;##PL|e387e492-5c5c-46b1-8f24-94df37df350f</vt:lpwstr>
  </property>
  <property fmtid="{D5CDD505-2E9C-101B-9397-08002B2CF9AE}" pid="9" name="FroConDoc_language">
    <vt:lpwstr>1;#DE|676160ea-61f7-4cef-8b4c-1724dec2206e</vt:lpwstr>
  </property>
</Properties>
</file>