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Comunicato stampa</w:t>
      </w:r>
    </w:p>
    <w:p w14:paraId="07CB8F03" w14:textId="06F6FC04" w:rsidR="00ED5549" w:rsidRPr="002F207D" w:rsidRDefault="0051114E" w:rsidP="00604BFB">
      <w:pPr>
        <w:jc w:val="both"/>
      </w:pPr>
      <w:r>
        <w:rPr>
          <w:sz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0A1238B9" w14:textId="40FC6CAE" w:rsidR="001742A0" w:rsidRDefault="00606028" w:rsidP="00604BFB">
      <w:pPr>
        <w:pStyle w:val="berschrift2"/>
        <w:jc w:val="both"/>
        <w:rPr>
          <w:color w:val="auto"/>
          <w:sz w:val="22"/>
          <w:szCs w:val="20"/>
        </w:rPr>
      </w:pPr>
      <w:r>
        <w:rPr>
          <w:color w:val="auto"/>
          <w:sz w:val="22"/>
        </w:rPr>
        <w:t xml:space="preserve">Energy Storage </w:t>
      </w:r>
      <w:proofErr w:type="spellStart"/>
      <w:r>
        <w:rPr>
          <w:color w:val="auto"/>
          <w:sz w:val="22"/>
        </w:rPr>
        <w:t>Inspection</w:t>
      </w:r>
      <w:proofErr w:type="spellEnd"/>
      <w:r>
        <w:rPr>
          <w:color w:val="auto"/>
          <w:sz w:val="22"/>
        </w:rPr>
        <w:t xml:space="preserve"> 2022</w:t>
      </w:r>
    </w:p>
    <w:p w14:paraId="2CC4F935" w14:textId="2914AED6" w:rsidR="00ED5549" w:rsidRPr="001742A0" w:rsidRDefault="001742A0" w:rsidP="00604BFB">
      <w:pPr>
        <w:jc w:val="both"/>
        <w:rPr>
          <w:sz w:val="20"/>
          <w:szCs w:val="20"/>
        </w:rPr>
      </w:pPr>
      <w:r>
        <w:rPr>
          <w:sz w:val="32"/>
        </w:rPr>
        <w:t>Fronius di nuovo al primo e secondo posto</w:t>
      </w:r>
    </w:p>
    <w:p w14:paraId="47D72435" w14:textId="4AE6AC00" w:rsidR="001668E3" w:rsidRPr="00604BFB" w:rsidRDefault="00ED5549" w:rsidP="00604BFB">
      <w:pPr>
        <w:jc w:val="both"/>
        <w:rPr>
          <w:sz w:val="24"/>
          <w:szCs w:val="24"/>
        </w:rPr>
      </w:pPr>
      <w:r>
        <w:rPr>
          <w:i/>
          <w:sz w:val="24"/>
        </w:rPr>
        <w:t xml:space="preserve">(Wels, </w:t>
      </w:r>
      <w:r w:rsidR="00D726F2">
        <w:rPr>
          <w:i/>
          <w:sz w:val="24"/>
        </w:rPr>
        <w:t>25</w:t>
      </w:r>
      <w:r>
        <w:rPr>
          <w:i/>
          <w:sz w:val="24"/>
        </w:rPr>
        <w:t>/0</w:t>
      </w:r>
      <w:r w:rsidR="00D726F2">
        <w:rPr>
          <w:i/>
          <w:sz w:val="24"/>
        </w:rPr>
        <w:t>4</w:t>
      </w:r>
      <w:r>
        <w:rPr>
          <w:i/>
          <w:sz w:val="24"/>
        </w:rPr>
        <w:t>/2022)</w:t>
      </w:r>
      <w:r>
        <w:rPr>
          <w:sz w:val="24"/>
        </w:rPr>
        <w:t xml:space="preserve"> Fronius al primo posto per la terza volta consecutiva nell'indagine annuale sui sistemi di accumulo residenziali condotta dall'Università di Berlino. Fronius Primo GEN24 Plus 6.0 si è classificato come miglior soluzione nella categoria dei 5 kWp e Fronius </w:t>
      </w:r>
      <w:proofErr w:type="spellStart"/>
      <w:r>
        <w:rPr>
          <w:sz w:val="24"/>
        </w:rPr>
        <w:t>Symo</w:t>
      </w:r>
      <w:proofErr w:type="spellEnd"/>
      <w:r>
        <w:rPr>
          <w:sz w:val="24"/>
        </w:rPr>
        <w:t xml:space="preserve"> GEN24 Plus 10.0 è al secondo posto nella categoria 10 kWp. Inoltre, Fronius è l'unico produttore di inverter ad aver raggiunto la classe di efficienza energetica A con entrambi i prodotti.</w:t>
      </w:r>
    </w:p>
    <w:p w14:paraId="2394DF3F" w14:textId="77777777" w:rsidR="003E6855" w:rsidRPr="002F207D" w:rsidRDefault="003E6855" w:rsidP="00604BFB">
      <w:pPr>
        <w:jc w:val="both"/>
        <w:rPr>
          <w:sz w:val="20"/>
          <w:szCs w:val="20"/>
        </w:rPr>
      </w:pPr>
    </w:p>
    <w:p w14:paraId="5EC11116" w14:textId="0DAC0424" w:rsidR="001742A0" w:rsidRPr="00944333" w:rsidRDefault="001742A0" w:rsidP="001742A0">
      <w:pPr>
        <w:jc w:val="both"/>
        <w:rPr>
          <w:sz w:val="20"/>
          <w:szCs w:val="20"/>
        </w:rPr>
      </w:pPr>
      <w:r>
        <w:rPr>
          <w:sz w:val="20"/>
        </w:rPr>
        <w:t xml:space="preserve">L'Energy Storage </w:t>
      </w:r>
      <w:proofErr w:type="spellStart"/>
      <w:r>
        <w:rPr>
          <w:sz w:val="20"/>
        </w:rPr>
        <w:t>Inspection</w:t>
      </w:r>
      <w:proofErr w:type="spellEnd"/>
      <w:r>
        <w:rPr>
          <w:sz w:val="20"/>
        </w:rPr>
        <w:t xml:space="preserve"> dell'Università di Berlino è uno studio che ogni anno mette a confronto le soluzioni di accumulo residenziali del mercato fotovoltaico. L'indagine di quest'anno ha coinvolto 19 sistemi di 14 produttori diversi; per ciascuno di essi è stato calcolato l'indice di performance complessivo del sistema (SPI - System Performance Index). Questa valutazione, effettuata da un ente indipendente, ha per noi un duplice valore: rappresenta un riferimento per la scelta di una soluzione altamente efficiente per installatori e clienti finali. I risultati parlano da soli, perché l'elevata efficienza di sistema riduce al minimo le perdite di energia, aumentando i guadagni e consentendo di ammortizzare più rapidamente i costi dell'impianto.</w:t>
      </w:r>
    </w:p>
    <w:p w14:paraId="2FB964F7" w14:textId="0C136A33" w:rsidR="001742A0" w:rsidRPr="001742A0" w:rsidRDefault="001742A0" w:rsidP="001742A0">
      <w:pPr>
        <w:jc w:val="both"/>
        <w:rPr>
          <w:sz w:val="20"/>
          <w:szCs w:val="20"/>
        </w:rPr>
      </w:pPr>
      <w:r>
        <w:rPr>
          <w:i/>
          <w:sz w:val="20"/>
        </w:rPr>
        <w:t xml:space="preserve">"Il risultato dell'indagine sui sistemi di accumulo residenziali di quest'anno ha dimostrato per la terza volta consecutiva che siamo realmente in grado di portare il sole nella vita dei nostri clienti. Gli inverter ibridi Fronius GEN24 Plus realizzano alla perfezione la nostra idea di "24 ore di sole". Accumulano l'energia solare prodotta di giorno e la mettono a disposizione di notte, consentendo di sfruttare al meglio le risorse disponibili e di garantire una sostenibilità concreta. Questo risultato è frutto del nostro lavoro costante e continuo sull'analisi del ciclo di vita del prodotto", </w:t>
      </w:r>
      <w:r>
        <w:rPr>
          <w:sz w:val="20"/>
        </w:rPr>
        <w:t xml:space="preserve">afferma Martin </w:t>
      </w:r>
      <w:proofErr w:type="spellStart"/>
      <w:r>
        <w:rPr>
          <w:sz w:val="20"/>
        </w:rPr>
        <w:t>Hackl</w:t>
      </w:r>
      <w:proofErr w:type="spellEnd"/>
      <w:r>
        <w:rPr>
          <w:sz w:val="20"/>
        </w:rPr>
        <w:t>, Global Director della Business Unit Solar Energy di Fronius International GmbH.</w:t>
      </w:r>
    </w:p>
    <w:p w14:paraId="766327C0" w14:textId="79601BB1" w:rsidR="001742A0" w:rsidRDefault="00944333" w:rsidP="00944333">
      <w:pPr>
        <w:pStyle w:val="berschrift4"/>
      </w:pPr>
      <w:r>
        <w:t>Unico produttore ad aver raggiunto la classe di efficienza energetica A in entrambe le categorie</w:t>
      </w:r>
    </w:p>
    <w:p w14:paraId="4518A34D" w14:textId="56875DEC" w:rsidR="00097F92" w:rsidRPr="00097F92" w:rsidRDefault="001742A0" w:rsidP="001742A0">
      <w:pPr>
        <w:jc w:val="both"/>
        <w:rPr>
          <w:sz w:val="20"/>
          <w:szCs w:val="20"/>
        </w:rPr>
      </w:pPr>
      <w:r>
        <w:rPr>
          <w:sz w:val="20"/>
        </w:rPr>
        <w:t xml:space="preserve">Fronius Primo GEN24 Plus 6.0, insieme alla batteria BYD </w:t>
      </w:r>
      <w:proofErr w:type="spellStart"/>
      <w:r>
        <w:rPr>
          <w:sz w:val="20"/>
        </w:rPr>
        <w:t>Battery</w:t>
      </w:r>
      <w:proofErr w:type="spellEnd"/>
      <w:r>
        <w:rPr>
          <w:sz w:val="20"/>
        </w:rPr>
        <w:t xml:space="preserve">-Box Premium HVS 7.7, ha raggiunto l'SPI più alto (92,2%) nella categoria 5 kWp, aggiudicandosi il primo posto con un intero punto percentuale in più rispetto al secondo classificato. Fronius </w:t>
      </w:r>
      <w:proofErr w:type="spellStart"/>
      <w:r>
        <w:rPr>
          <w:sz w:val="20"/>
        </w:rPr>
        <w:t>Symo</w:t>
      </w:r>
      <w:proofErr w:type="spellEnd"/>
      <w:r>
        <w:rPr>
          <w:sz w:val="20"/>
        </w:rPr>
        <w:t xml:space="preserve"> GEN24 Plus 10.0 con la BYD </w:t>
      </w:r>
      <w:proofErr w:type="spellStart"/>
      <w:r>
        <w:rPr>
          <w:sz w:val="20"/>
        </w:rPr>
        <w:t>Battery</w:t>
      </w:r>
      <w:proofErr w:type="spellEnd"/>
      <w:r>
        <w:rPr>
          <w:sz w:val="20"/>
        </w:rPr>
        <w:t>-Box Premium HVS 10.2 ha raggiunto un SPI del 94,7% nella categoria 10 kWp. "</w:t>
      </w:r>
      <w:r>
        <w:rPr>
          <w:i/>
          <w:sz w:val="20"/>
        </w:rPr>
        <w:t xml:space="preserve">Siamo stati l'unico produttore ad aver raggiunto la classe di efficienza energetica A in entrambi i casi di </w:t>
      </w:r>
      <w:r>
        <w:rPr>
          <w:i/>
          <w:sz w:val="20"/>
        </w:rPr>
        <w:lastRenderedPageBreak/>
        <w:t>riferimento con la gamma GEN24 Plus",</w:t>
      </w:r>
      <w:r>
        <w:rPr>
          <w:sz w:val="20"/>
        </w:rPr>
        <w:t xml:space="preserve"> spiega Susanne </w:t>
      </w:r>
      <w:proofErr w:type="spellStart"/>
      <w:r>
        <w:rPr>
          <w:sz w:val="20"/>
        </w:rPr>
        <w:t>Lampl</w:t>
      </w:r>
      <w:proofErr w:type="spellEnd"/>
      <w:r>
        <w:rPr>
          <w:sz w:val="20"/>
        </w:rPr>
        <w:t xml:space="preserve">, Product Manager di Fronius International GmbH. </w:t>
      </w:r>
    </w:p>
    <w:p w14:paraId="09D1E45F" w14:textId="77777777" w:rsidR="001742A0" w:rsidRPr="00FA0581" w:rsidRDefault="001742A0" w:rsidP="001742A0">
      <w:pPr>
        <w:pStyle w:val="berschrift4"/>
      </w:pPr>
      <w:r>
        <w:t>I fattori di successo: la Multi Flow Technology, semiconduttori di potenza in carburo di silicio e una solida collaborazione</w:t>
      </w:r>
    </w:p>
    <w:p w14:paraId="5432D66B" w14:textId="66FFE761" w:rsidR="001742A0" w:rsidRPr="001742A0" w:rsidRDefault="00056836" w:rsidP="001742A0">
      <w:pPr>
        <w:jc w:val="both"/>
        <w:rPr>
          <w:sz w:val="20"/>
          <w:szCs w:val="20"/>
        </w:rPr>
      </w:pPr>
      <w:r>
        <w:rPr>
          <w:sz w:val="20"/>
        </w:rPr>
        <w:t xml:space="preserve">La Multi Flow Technology, ovvero il sistema di gestione intelligente dei flussi energetici di Fronius, consente all'inverter di gestire molteplici flussi di corrente in tutte le direzioni, oltre al collegamento in AC e DC della batteria partendo dall'elettronica di potenza. L'impiego di semiconduttori di potenza in carburo di silicio permette di ottenere efficienze di conversione estremamente elevate anche in condizioni di carico ridotto pari a poche centinaia di watt. </w:t>
      </w:r>
    </w:p>
    <w:p w14:paraId="453C9C56" w14:textId="7C718599" w:rsidR="00E2626F" w:rsidRPr="00E2626F" w:rsidRDefault="001742A0" w:rsidP="00E2626F">
      <w:pPr>
        <w:pStyle w:val="StandardWeb"/>
        <w:shd w:val="clear" w:color="auto" w:fill="FFFFFF"/>
        <w:spacing w:before="0" w:beforeAutospacing="0" w:after="0" w:afterAutospacing="0"/>
        <w:jc w:val="both"/>
        <w:textAlignment w:val="baseline"/>
        <w:rPr>
          <w:rFonts w:ascii="Noto Sans" w:eastAsiaTheme="minorHAnsi" w:hAnsi="Noto Sans" w:cstheme="minorBidi"/>
          <w:sz w:val="20"/>
          <w:szCs w:val="20"/>
        </w:rPr>
      </w:pPr>
      <w:r>
        <w:rPr>
          <w:rFonts w:ascii="Noto Sans" w:hAnsi="Noto Sans"/>
          <w:sz w:val="20"/>
        </w:rPr>
        <w:t xml:space="preserve">Fronius e l'azienda cinese high-tech BYD collaborano in sinergia da più di quattro anni. La stretta collaborazione con BYD inizia già nella fase di sviluppo, che consente di adattare alla perfezione i dispositivi tra loro e quindi di raggiungere un'elevata efficienza del sistema. </w:t>
      </w:r>
    </w:p>
    <w:p w14:paraId="0ECEF8A0" w14:textId="44850473" w:rsidR="001742A0" w:rsidRPr="001742A0" w:rsidRDefault="001742A0" w:rsidP="00E2626F">
      <w:pPr>
        <w:jc w:val="both"/>
        <w:rPr>
          <w:sz w:val="20"/>
          <w:szCs w:val="20"/>
        </w:rPr>
      </w:pPr>
    </w:p>
    <w:p w14:paraId="586761F3" w14:textId="40F055FC" w:rsidR="001742A0" w:rsidRDefault="001742A0" w:rsidP="001742A0">
      <w:r>
        <w:t xml:space="preserve">Tutte le informazioni relative all'Energy Storage </w:t>
      </w:r>
      <w:proofErr w:type="spellStart"/>
      <w:r>
        <w:t>Inspection</w:t>
      </w:r>
      <w:proofErr w:type="spellEnd"/>
      <w:r>
        <w:t xml:space="preserve"> sono disponibili su: </w:t>
      </w:r>
      <w:hyperlink r:id="rId7" w:history="1">
        <w:r>
          <w:rPr>
            <w:rStyle w:val="Hyperlink"/>
          </w:rPr>
          <w:t>https://solar.htw-berlin.de/studien/speicher-inspektion-2022/</w:t>
        </w:r>
      </w:hyperlink>
      <w:r>
        <w:t xml:space="preserve">  </w:t>
      </w:r>
    </w:p>
    <w:p w14:paraId="11257F3F" w14:textId="006BE30A" w:rsidR="001742A0" w:rsidRDefault="001742A0" w:rsidP="001742A0">
      <w:pPr>
        <w:jc w:val="both"/>
        <w:rPr>
          <w:lang w:val="de-DE"/>
        </w:rPr>
      </w:pPr>
    </w:p>
    <w:p w14:paraId="231BBC2A" w14:textId="2FF1D9BC" w:rsidR="001742A0" w:rsidRPr="006F73DA" w:rsidRDefault="001742A0" w:rsidP="00253496">
      <w:pPr>
        <w:spacing w:before="40" w:after="40"/>
        <w:jc w:val="both"/>
      </w:pPr>
      <w:r>
        <w:t>Parole: 455</w:t>
      </w:r>
    </w:p>
    <w:p w14:paraId="7A0E5C1D" w14:textId="66E315D1" w:rsidR="001742A0" w:rsidRDefault="001742A0" w:rsidP="00253496">
      <w:pPr>
        <w:spacing w:before="40" w:after="40"/>
        <w:jc w:val="both"/>
      </w:pPr>
      <w:r>
        <w:t>Caratteri: 3.468 (spazi inclusi)</w:t>
      </w:r>
    </w:p>
    <w:p w14:paraId="13F0C1F8" w14:textId="77777777" w:rsidR="001742A0" w:rsidRDefault="001742A0" w:rsidP="001742A0">
      <w:pPr>
        <w:jc w:val="both"/>
        <w:rPr>
          <w:color w:val="000000" w:themeColor="text1"/>
          <w:lang w:val="de-DE"/>
        </w:rPr>
      </w:pPr>
    </w:p>
    <w:p w14:paraId="7EC534EB" w14:textId="26907B08" w:rsidR="00B8257D" w:rsidRDefault="00B8257D" w:rsidP="00604BFB">
      <w:pPr>
        <w:pStyle w:val="berschrift4"/>
        <w:jc w:val="both"/>
        <w:rPr>
          <w:sz w:val="20"/>
          <w:szCs w:val="20"/>
        </w:rPr>
      </w:pPr>
      <w:r>
        <w:rPr>
          <w:sz w:val="20"/>
        </w:rPr>
        <w:t>Panoramica immagini</w:t>
      </w:r>
    </w:p>
    <w:p w14:paraId="67D17656" w14:textId="25FDC8FB" w:rsidR="00F12293" w:rsidRPr="00F12293" w:rsidRDefault="00F12293" w:rsidP="00F12293">
      <w:r>
        <w:rPr>
          <w:noProof/>
        </w:rPr>
        <w:drawing>
          <wp:anchor distT="0" distB="0" distL="114300" distR="114300" simplePos="0" relativeHeight="251671552" behindDoc="1" locked="0" layoutInCell="1" allowOverlap="1" wp14:anchorId="1FA7BB84" wp14:editId="0D197D10">
            <wp:simplePos x="0" y="0"/>
            <wp:positionH relativeFrom="margin">
              <wp:align>left</wp:align>
            </wp:positionH>
            <wp:positionV relativeFrom="paragraph">
              <wp:posOffset>304800</wp:posOffset>
            </wp:positionV>
            <wp:extent cx="2641600" cy="1866900"/>
            <wp:effectExtent l="0" t="0" r="6350" b="0"/>
            <wp:wrapTight wrapText="bothSides">
              <wp:wrapPolygon edited="0">
                <wp:start x="0" y="0"/>
                <wp:lineTo x="0" y="21380"/>
                <wp:lineTo x="21496" y="21380"/>
                <wp:lineTo x="21496"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8081" cy="187103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5527F4" w14:textId="2A1F46BA" w:rsidR="00410DAD" w:rsidRDefault="00410DAD" w:rsidP="00410DAD">
      <w:pPr>
        <w:jc w:val="both"/>
        <w:rPr>
          <w:sz w:val="18"/>
          <w:szCs w:val="18"/>
        </w:rPr>
      </w:pPr>
      <w:r>
        <w:rPr>
          <w:sz w:val="18"/>
        </w:rPr>
        <w:t>L'elevata efficienza di sistema consente di ammortizzare più rapidamente i costi dell'impianto.</w:t>
      </w:r>
    </w:p>
    <w:p w14:paraId="7415D515" w14:textId="09BA8F05" w:rsidR="00F12293" w:rsidRDefault="00F12293" w:rsidP="00410DAD">
      <w:pPr>
        <w:jc w:val="both"/>
        <w:rPr>
          <w:sz w:val="18"/>
          <w:szCs w:val="18"/>
        </w:rPr>
      </w:pPr>
    </w:p>
    <w:p w14:paraId="550D6CF6" w14:textId="7F19F168" w:rsidR="00F12293" w:rsidRDefault="00F12293" w:rsidP="00410DAD">
      <w:pPr>
        <w:jc w:val="both"/>
        <w:rPr>
          <w:sz w:val="18"/>
          <w:szCs w:val="18"/>
        </w:rPr>
      </w:pPr>
    </w:p>
    <w:p w14:paraId="214F0D08" w14:textId="70B3B542" w:rsidR="00F12293" w:rsidRDefault="00F12293" w:rsidP="00410DAD">
      <w:pPr>
        <w:jc w:val="both"/>
        <w:rPr>
          <w:sz w:val="18"/>
          <w:szCs w:val="18"/>
        </w:rPr>
      </w:pPr>
    </w:p>
    <w:p w14:paraId="393D9E83" w14:textId="0BF6D30C" w:rsidR="00F12293" w:rsidRDefault="00F12293" w:rsidP="00410DAD">
      <w:pPr>
        <w:jc w:val="both"/>
        <w:rPr>
          <w:sz w:val="18"/>
          <w:szCs w:val="18"/>
        </w:rPr>
      </w:pPr>
    </w:p>
    <w:p w14:paraId="170B2377" w14:textId="215C573C" w:rsidR="00F12293" w:rsidRDefault="00F12293" w:rsidP="00410DAD">
      <w:pPr>
        <w:jc w:val="both"/>
        <w:rPr>
          <w:sz w:val="18"/>
          <w:szCs w:val="18"/>
        </w:rPr>
      </w:pPr>
    </w:p>
    <w:p w14:paraId="33A02288" w14:textId="620990D3" w:rsidR="00B8257D" w:rsidRPr="002F207D" w:rsidRDefault="00F12293" w:rsidP="00604BFB">
      <w:pPr>
        <w:jc w:val="both"/>
        <w:rPr>
          <w:sz w:val="18"/>
          <w:szCs w:val="18"/>
        </w:rPr>
      </w:pPr>
      <w:r>
        <w:rPr>
          <w:noProof/>
          <w:sz w:val="18"/>
        </w:rPr>
        <w:drawing>
          <wp:anchor distT="0" distB="0" distL="114300" distR="114300" simplePos="0" relativeHeight="251670528" behindDoc="1" locked="0" layoutInCell="1" allowOverlap="1" wp14:anchorId="7AE1E538" wp14:editId="53EB7371">
            <wp:simplePos x="0" y="0"/>
            <wp:positionH relativeFrom="column">
              <wp:posOffset>-99695</wp:posOffset>
            </wp:positionH>
            <wp:positionV relativeFrom="paragraph">
              <wp:posOffset>291465</wp:posOffset>
            </wp:positionV>
            <wp:extent cx="2847975" cy="1600835"/>
            <wp:effectExtent l="0" t="0" r="9525" b="0"/>
            <wp:wrapTight wrapText="bothSides">
              <wp:wrapPolygon edited="0">
                <wp:start x="0" y="0"/>
                <wp:lineTo x="0" y="21334"/>
                <wp:lineTo x="21528" y="21334"/>
                <wp:lineTo x="21528"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47975" cy="1600835"/>
                    </a:xfrm>
                    <a:prstGeom prst="rect">
                      <a:avLst/>
                    </a:prstGeom>
                  </pic:spPr>
                </pic:pic>
              </a:graphicData>
            </a:graphic>
            <wp14:sizeRelH relativeFrom="margin">
              <wp14:pctWidth>0</wp14:pctWidth>
            </wp14:sizeRelH>
            <wp14:sizeRelV relativeFrom="margin">
              <wp14:pctHeight>0</wp14:pctHeight>
            </wp14:sizeRelV>
          </wp:anchor>
        </w:drawing>
      </w:r>
    </w:p>
    <w:p w14:paraId="5FC6DC0F" w14:textId="77777777" w:rsidR="009A0CD9" w:rsidRDefault="009A0CD9" w:rsidP="00410DAD">
      <w:pPr>
        <w:jc w:val="both"/>
        <w:rPr>
          <w:sz w:val="18"/>
          <w:szCs w:val="18"/>
        </w:rPr>
      </w:pPr>
    </w:p>
    <w:p w14:paraId="2C524BDE" w14:textId="1C32B141" w:rsidR="00410DAD" w:rsidRPr="00410DAD" w:rsidRDefault="00410DAD" w:rsidP="00410DAD">
      <w:pPr>
        <w:jc w:val="both"/>
        <w:rPr>
          <w:sz w:val="18"/>
          <w:szCs w:val="18"/>
        </w:rPr>
      </w:pPr>
      <w:r>
        <w:rPr>
          <w:sz w:val="18"/>
        </w:rPr>
        <w:t>Fronius al primo posto per la terza volta consecutiva nell'indagine annuale sui sistemi di accumulo residenziali condotta dall'Università di Berlino.</w:t>
      </w:r>
    </w:p>
    <w:p w14:paraId="29689614" w14:textId="17CB4B09" w:rsidR="00410DAD" w:rsidRPr="00410DAD" w:rsidRDefault="00410DAD" w:rsidP="002F207D">
      <w:pPr>
        <w:jc w:val="both"/>
        <w:rPr>
          <w:sz w:val="18"/>
          <w:szCs w:val="18"/>
          <w:lang w:val="de-DE"/>
        </w:rPr>
      </w:pPr>
    </w:p>
    <w:p w14:paraId="6BC6EE69" w14:textId="11DCE0CF" w:rsidR="002F207D" w:rsidRPr="002F207D" w:rsidRDefault="002F207D" w:rsidP="002F207D">
      <w:pPr>
        <w:jc w:val="both"/>
        <w:rPr>
          <w:sz w:val="18"/>
          <w:szCs w:val="18"/>
        </w:rPr>
      </w:pPr>
    </w:p>
    <w:p w14:paraId="49B516C6" w14:textId="36C53BDE" w:rsidR="002F207D" w:rsidRDefault="002F207D" w:rsidP="002F207D">
      <w:pPr>
        <w:jc w:val="both"/>
        <w:rPr>
          <w:sz w:val="18"/>
          <w:szCs w:val="18"/>
        </w:rPr>
      </w:pPr>
    </w:p>
    <w:p w14:paraId="4F18D1A5" w14:textId="62755F8A" w:rsidR="00E723FD" w:rsidRDefault="008955A6" w:rsidP="002F207D">
      <w:pPr>
        <w:jc w:val="both"/>
        <w:rPr>
          <w:sz w:val="18"/>
          <w:szCs w:val="18"/>
        </w:rPr>
      </w:pPr>
      <w:r>
        <w:rPr>
          <w:noProof/>
        </w:rPr>
        <w:lastRenderedPageBreak/>
        <w:drawing>
          <wp:anchor distT="0" distB="0" distL="114300" distR="114300" simplePos="0" relativeHeight="251668480" behindDoc="1" locked="0" layoutInCell="1" allowOverlap="1" wp14:anchorId="3775F17C" wp14:editId="6343D73E">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D311D2" w14:textId="32A797C0" w:rsidR="00E723FD" w:rsidRDefault="00E723FD" w:rsidP="002F207D">
      <w:pPr>
        <w:jc w:val="both"/>
        <w:rPr>
          <w:sz w:val="20"/>
          <w:szCs w:val="20"/>
        </w:rPr>
      </w:pPr>
      <w:r>
        <w:rPr>
          <w:sz w:val="20"/>
        </w:rPr>
        <w:t xml:space="preserve">Martin </w:t>
      </w:r>
      <w:proofErr w:type="spellStart"/>
      <w:r>
        <w:rPr>
          <w:sz w:val="20"/>
        </w:rPr>
        <w:t>Hackl</w:t>
      </w:r>
      <w:proofErr w:type="spellEnd"/>
      <w:r>
        <w:rPr>
          <w:sz w:val="20"/>
        </w:rPr>
        <w:t>, Global Director della Business Unit Solar Energy di Fronius International GmbH.</w:t>
      </w:r>
    </w:p>
    <w:p w14:paraId="3F5589F7" w14:textId="4F9AAAE3" w:rsidR="00E723FD" w:rsidRDefault="00E723FD" w:rsidP="002F207D">
      <w:pPr>
        <w:jc w:val="both"/>
        <w:rPr>
          <w:sz w:val="20"/>
          <w:szCs w:val="20"/>
          <w:lang w:val="en-US"/>
        </w:rPr>
      </w:pPr>
    </w:p>
    <w:p w14:paraId="7B9A9E5A" w14:textId="75B9E55E" w:rsidR="00E723FD" w:rsidRDefault="00E723FD" w:rsidP="002F207D">
      <w:pPr>
        <w:jc w:val="both"/>
        <w:rPr>
          <w:sz w:val="20"/>
          <w:szCs w:val="20"/>
          <w:lang w:val="en-US"/>
        </w:rPr>
      </w:pPr>
    </w:p>
    <w:p w14:paraId="77A13EF5" w14:textId="3026237C" w:rsidR="00E723FD" w:rsidRDefault="00E723FD" w:rsidP="002F207D">
      <w:pPr>
        <w:jc w:val="both"/>
        <w:rPr>
          <w:sz w:val="20"/>
          <w:szCs w:val="20"/>
          <w:lang w:val="en-US"/>
        </w:rPr>
      </w:pPr>
    </w:p>
    <w:p w14:paraId="422C25D0" w14:textId="13CBE37C" w:rsidR="00E723FD" w:rsidRDefault="00F12293" w:rsidP="002F207D">
      <w:pPr>
        <w:jc w:val="both"/>
        <w:rPr>
          <w:sz w:val="20"/>
          <w:szCs w:val="20"/>
        </w:rPr>
      </w:pPr>
      <w:r>
        <w:rPr>
          <w:noProof/>
          <w:sz w:val="20"/>
        </w:rPr>
        <w:drawing>
          <wp:anchor distT="0" distB="0" distL="114300" distR="114300" simplePos="0" relativeHeight="251669504" behindDoc="1" locked="0" layoutInCell="1" allowOverlap="1" wp14:anchorId="26F17967" wp14:editId="3BCAC359">
            <wp:simplePos x="0" y="0"/>
            <wp:positionH relativeFrom="margin">
              <wp:align>left</wp:align>
            </wp:positionH>
            <wp:positionV relativeFrom="paragraph">
              <wp:posOffset>281940</wp:posOffset>
            </wp:positionV>
            <wp:extent cx="2314575" cy="1543685"/>
            <wp:effectExtent l="0" t="0" r="0" b="0"/>
            <wp:wrapTight wrapText="bothSides">
              <wp:wrapPolygon edited="0">
                <wp:start x="0" y="0"/>
                <wp:lineTo x="0" y="21325"/>
                <wp:lineTo x="21333" y="21325"/>
                <wp:lineTo x="21333"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24666" cy="1550698"/>
                    </a:xfrm>
                    <a:prstGeom prst="rect">
                      <a:avLst/>
                    </a:prstGeom>
                  </pic:spPr>
                </pic:pic>
              </a:graphicData>
            </a:graphic>
            <wp14:sizeRelH relativeFrom="margin">
              <wp14:pctWidth>0</wp14:pctWidth>
            </wp14:sizeRelH>
            <wp14:sizeRelV relativeFrom="margin">
              <wp14:pctHeight>0</wp14:pctHeight>
            </wp14:sizeRelV>
          </wp:anchor>
        </w:drawing>
      </w:r>
    </w:p>
    <w:p w14:paraId="278D7937" w14:textId="422EADBC" w:rsidR="00E723FD" w:rsidRPr="003F0C94" w:rsidRDefault="00E723FD" w:rsidP="002F207D">
      <w:pPr>
        <w:jc w:val="both"/>
        <w:rPr>
          <w:sz w:val="20"/>
          <w:szCs w:val="20"/>
        </w:rPr>
      </w:pPr>
      <w:r>
        <w:rPr>
          <w:sz w:val="20"/>
        </w:rPr>
        <w:t xml:space="preserve">Susanne </w:t>
      </w:r>
      <w:proofErr w:type="spellStart"/>
      <w:r>
        <w:rPr>
          <w:sz w:val="20"/>
        </w:rPr>
        <w:t>Lampl</w:t>
      </w:r>
      <w:proofErr w:type="spellEnd"/>
      <w:r>
        <w:rPr>
          <w:sz w:val="20"/>
        </w:rPr>
        <w:t>, Product Manager della Business Unit Solar Energy di Fronius International GmbH.</w:t>
      </w:r>
    </w:p>
    <w:p w14:paraId="147D90BB" w14:textId="77777777" w:rsidR="00E723FD" w:rsidRPr="003F0C94" w:rsidRDefault="00E723FD" w:rsidP="002F207D">
      <w:pPr>
        <w:jc w:val="both"/>
        <w:rPr>
          <w:sz w:val="18"/>
          <w:szCs w:val="18"/>
        </w:rPr>
      </w:pPr>
    </w:p>
    <w:p w14:paraId="437671DC" w14:textId="3D786B74" w:rsidR="002F207D" w:rsidRPr="003F0C94" w:rsidRDefault="002F207D" w:rsidP="002F207D">
      <w:pPr>
        <w:jc w:val="both"/>
        <w:rPr>
          <w:sz w:val="18"/>
          <w:szCs w:val="18"/>
        </w:rPr>
      </w:pPr>
    </w:p>
    <w:p w14:paraId="4FBF11FD" w14:textId="7021F05F" w:rsidR="00E723FD" w:rsidRPr="003F0C94" w:rsidRDefault="00E723FD" w:rsidP="002F207D">
      <w:pPr>
        <w:jc w:val="both"/>
        <w:rPr>
          <w:sz w:val="18"/>
          <w:szCs w:val="18"/>
        </w:rPr>
      </w:pPr>
    </w:p>
    <w:p w14:paraId="610F6811" w14:textId="77777777" w:rsidR="00E723FD" w:rsidRPr="003F0C94" w:rsidRDefault="00E723FD" w:rsidP="002F207D">
      <w:pPr>
        <w:jc w:val="both"/>
        <w:rPr>
          <w:sz w:val="18"/>
          <w:szCs w:val="18"/>
        </w:rPr>
      </w:pPr>
    </w:p>
    <w:p w14:paraId="678B5CFF" w14:textId="4C51B011" w:rsidR="00B8257D" w:rsidRPr="00B25C3B" w:rsidRDefault="00B25C3B" w:rsidP="00604BFB">
      <w:pPr>
        <w:jc w:val="both"/>
        <w:rPr>
          <w:i/>
          <w:iCs/>
          <w:sz w:val="18"/>
          <w:szCs w:val="18"/>
        </w:rPr>
      </w:pPr>
      <w:r>
        <w:rPr>
          <w:i/>
          <w:sz w:val="18"/>
        </w:rPr>
        <w:t>Crediti fotografici: Fronius International GmbH, riproduzione gratuita</w:t>
      </w:r>
    </w:p>
    <w:p w14:paraId="0C1181E0" w14:textId="77777777" w:rsidR="008C5190" w:rsidRPr="002F207D" w:rsidRDefault="008C5190">
      <w:pPr>
        <w:rPr>
          <w:rFonts w:eastAsiaTheme="majorEastAsia" w:cstheme="majorBidi"/>
          <w:iCs/>
          <w:color w:val="000000" w:themeColor="text1"/>
          <w:sz w:val="20"/>
          <w:szCs w:val="20"/>
        </w:rPr>
      </w:pPr>
    </w:p>
    <w:p w14:paraId="35D157E3" w14:textId="4DE4010E" w:rsidR="00EC6E68" w:rsidRPr="002F207D" w:rsidRDefault="0015484D" w:rsidP="00604BFB">
      <w:pPr>
        <w:pStyle w:val="berschrift4"/>
        <w:jc w:val="both"/>
        <w:rPr>
          <w:sz w:val="20"/>
          <w:szCs w:val="20"/>
        </w:rPr>
      </w:pPr>
      <w:r>
        <w:rPr>
          <w:sz w:val="20"/>
        </w:rPr>
        <w:t>Business Unit Solar Energy</w:t>
      </w:r>
    </w:p>
    <w:p w14:paraId="54765B3A" w14:textId="5F441CC0" w:rsidR="0015484D" w:rsidRDefault="0051114E" w:rsidP="00604BFB">
      <w:pPr>
        <w:jc w:val="both"/>
        <w:rPr>
          <w:sz w:val="20"/>
          <w:szCs w:val="20"/>
        </w:rPr>
      </w:pPr>
      <w:r>
        <w:rPr>
          <w:sz w:val="20"/>
        </w:rPr>
        <w:t>La Business Unit (BU) Fronius Solar Energy sviluppa soluzioni legate al mondo del fotovoltaico dal 1992 e distribuisce i suoi prodotti attraverso una rete globale di partner per la vendita, l'installazione e l'assistenza sul campo. 26 filiali dedicate alla divisione Solar Energy, una quota d'esportazione superiore all'89% e una potenza totale in inverter installati superiore a 25 GW parlano da sé. La nostra missione è rendere possibili "24 ore di sole" - ovvero un futuro in cui l'intero fabbisogno energetico mondiale venga soddisfatto al 100% da energie rinnovabili - e in Fronius lavoriamo ogni giorno per trasformare questa vision in una realtà concreta e accessibile a tutti. Per questo sviluppiamo soluzioni energetiche che consentano di produrre, accumulare, distribuire e consumare l'energia solare nel modo più efficiente e intelligente possibile.</w:t>
      </w:r>
    </w:p>
    <w:p w14:paraId="5F3913DA" w14:textId="77777777" w:rsidR="001B4713" w:rsidRDefault="001B4713" w:rsidP="00604BFB">
      <w:pPr>
        <w:jc w:val="both"/>
        <w:rPr>
          <w:sz w:val="20"/>
          <w:szCs w:val="20"/>
        </w:rPr>
      </w:pPr>
    </w:p>
    <w:p w14:paraId="48B19F59" w14:textId="77777777" w:rsidR="0015484D" w:rsidRPr="002F207D" w:rsidRDefault="0015484D" w:rsidP="0015484D">
      <w:pPr>
        <w:pStyle w:val="berschrift4"/>
        <w:jc w:val="both"/>
        <w:rPr>
          <w:sz w:val="20"/>
          <w:szCs w:val="20"/>
        </w:rPr>
      </w:pPr>
      <w:r>
        <w:rPr>
          <w:sz w:val="20"/>
        </w:rPr>
        <w:t>Informazioni su Fronius International GmbH</w:t>
      </w:r>
    </w:p>
    <w:p w14:paraId="3B731321" w14:textId="530FE237" w:rsidR="0015484D" w:rsidRPr="002F207D" w:rsidRDefault="0015484D" w:rsidP="0015484D">
      <w:pPr>
        <w:jc w:val="both"/>
        <w:rPr>
          <w:sz w:val="20"/>
          <w:szCs w:val="20"/>
        </w:rPr>
      </w:pPr>
      <w:r>
        <w:rPr>
          <w:sz w:val="20"/>
        </w:rPr>
        <w:t xml:space="preserve">Fronius International GmbH è una family company austriaca con sede a </w:t>
      </w:r>
      <w:proofErr w:type="spellStart"/>
      <w:r>
        <w:rPr>
          <w:sz w:val="20"/>
        </w:rPr>
        <w:t>Pettenbach</w:t>
      </w:r>
      <w:proofErr w:type="spellEnd"/>
      <w:r>
        <w:rPr>
          <w:sz w:val="20"/>
        </w:rPr>
        <w:t xml:space="preserve"> e altri stabilimenti a Wels, </w:t>
      </w:r>
      <w:proofErr w:type="spellStart"/>
      <w:r>
        <w:rPr>
          <w:sz w:val="20"/>
        </w:rPr>
        <w:t>Thalheim</w:t>
      </w:r>
      <w:proofErr w:type="spellEnd"/>
      <w:r>
        <w:rPr>
          <w:sz w:val="20"/>
        </w:rPr>
        <w:t xml:space="preserve">, </w:t>
      </w:r>
      <w:proofErr w:type="spellStart"/>
      <w:r>
        <w:rPr>
          <w:sz w:val="20"/>
        </w:rPr>
        <w:t>Steinhaus</w:t>
      </w:r>
      <w:proofErr w:type="spellEnd"/>
      <w:r>
        <w:rPr>
          <w:sz w:val="20"/>
        </w:rPr>
        <w:t xml:space="preserve"> e </w:t>
      </w:r>
      <w:proofErr w:type="spellStart"/>
      <w:r>
        <w:rPr>
          <w:sz w:val="20"/>
        </w:rPr>
        <w:t>Sattledt</w:t>
      </w:r>
      <w:proofErr w:type="spellEnd"/>
      <w:r>
        <w:rPr>
          <w:sz w:val="20"/>
        </w:rPr>
        <w:t>. Fondata nel 1945 da un singolo imprenditore, oggi Fronius è una realtà internazionale con oltre 5.660 collaboratori in tutto il mondo che opera nei settori della saldatura, del fotovoltaico e delle tecnologie di ricarica. Grazie alle sue 36 filiali e ai partner commerciali presenti in oltre 60 Paesi, la quota di esportazione raggiunge il 92%. L'innovazione dei prodotti e dei servizi offerti, insieme ai 1.321 brevetti attivi, fanno di Fronius un leader d'innovazione sul mercato mondiale.</w:t>
      </w:r>
    </w:p>
    <w:p w14:paraId="66177D9A" w14:textId="2E3A5D74" w:rsidR="00EC6E68" w:rsidRPr="002F207D" w:rsidRDefault="00EC6E68" w:rsidP="00604BFB">
      <w:pPr>
        <w:jc w:val="both"/>
        <w:rPr>
          <w:sz w:val="20"/>
          <w:szCs w:val="20"/>
        </w:rPr>
      </w:pPr>
    </w:p>
    <w:p w14:paraId="3726E5F6" w14:textId="5D237A81" w:rsidR="00EC6E68" w:rsidRPr="002F207D" w:rsidRDefault="00EC6E68" w:rsidP="0051114E">
      <w:pPr>
        <w:pStyle w:val="berschrift4"/>
        <w:jc w:val="both"/>
        <w:rPr>
          <w:sz w:val="20"/>
          <w:szCs w:val="20"/>
        </w:rPr>
      </w:pPr>
      <w:r>
        <w:rPr>
          <w:sz w:val="20"/>
        </w:rPr>
        <w:t>Per ulteriori informazioni, contattare</w:t>
      </w:r>
    </w:p>
    <w:p w14:paraId="23E98C38" w14:textId="1716EFA4" w:rsidR="008C5190" w:rsidRPr="0015484D" w:rsidRDefault="00455012" w:rsidP="0015484D">
      <w:pPr>
        <w:rPr>
          <w:sz w:val="20"/>
          <w:szCs w:val="20"/>
        </w:rPr>
      </w:pPr>
      <w:r>
        <w:rPr>
          <w:sz w:val="20"/>
        </w:rPr>
        <w:t>Fronius International GmbH, Andrea SCHARTNER,</w:t>
      </w:r>
      <w:r>
        <w:rPr>
          <w:sz w:val="20"/>
        </w:rPr>
        <w:br/>
        <w:t xml:space="preserve">+43 664 88536765, </w:t>
      </w:r>
      <w:hyperlink r:id="rId12" w:history="1">
        <w:r>
          <w:rPr>
            <w:rStyle w:val="Hyperlink"/>
            <w:sz w:val="20"/>
          </w:rPr>
          <w:t>schartner.andrea@fronius.com</w:t>
        </w:r>
      </w:hyperlink>
      <w:r>
        <w:rPr>
          <w:sz w:val="20"/>
        </w:rPr>
        <w:t>,</w:t>
      </w:r>
      <w:r>
        <w:rPr>
          <w:sz w:val="20"/>
        </w:rPr>
        <w:br/>
      </w:r>
      <w:proofErr w:type="spellStart"/>
      <w:r>
        <w:rPr>
          <w:sz w:val="20"/>
        </w:rPr>
        <w:t>Froniusplatz</w:t>
      </w:r>
      <w:proofErr w:type="spellEnd"/>
      <w:r>
        <w:rPr>
          <w:sz w:val="20"/>
        </w:rPr>
        <w:t xml:space="preserve"> 1, 4600 Wels, Austria</w:t>
      </w:r>
    </w:p>
    <w:p w14:paraId="4C3E7DFD" w14:textId="77777777" w:rsidR="00B03ABD" w:rsidRPr="00B03ABD" w:rsidRDefault="00B03ABD" w:rsidP="00B03ABD">
      <w:pPr>
        <w:spacing w:before="40" w:after="40" w:line="240" w:lineRule="auto"/>
        <w:rPr>
          <w:sz w:val="20"/>
        </w:rPr>
      </w:pPr>
      <w:r w:rsidRPr="00B03ABD">
        <w:rPr>
          <w:sz w:val="20"/>
        </w:rPr>
        <w:lastRenderedPageBreak/>
        <w:t xml:space="preserve">Paola BASCHIROTTO, +39 3463 835504, </w:t>
      </w:r>
      <w:hyperlink r:id="rId13" w:history="1">
        <w:r w:rsidRPr="00B03ABD">
          <w:rPr>
            <w:rStyle w:val="Hyperlink"/>
            <w:sz w:val="20"/>
            <w:szCs w:val="20"/>
          </w:rPr>
          <w:t>baschirotto.paola@fronius.com</w:t>
        </w:r>
      </w:hyperlink>
      <w:r w:rsidRPr="00B03ABD">
        <w:rPr>
          <w:sz w:val="20"/>
        </w:rPr>
        <w:t xml:space="preserve">, Via dell'Agricoltura 46, </w:t>
      </w:r>
    </w:p>
    <w:p w14:paraId="147431FF" w14:textId="77777777" w:rsidR="00B03ABD" w:rsidRPr="00B03ABD" w:rsidRDefault="00B03ABD" w:rsidP="00B03ABD">
      <w:pPr>
        <w:spacing w:before="40" w:after="40" w:line="240" w:lineRule="auto"/>
        <w:rPr>
          <w:sz w:val="20"/>
        </w:rPr>
      </w:pPr>
      <w:r w:rsidRPr="00B03ABD">
        <w:rPr>
          <w:sz w:val="20"/>
        </w:rPr>
        <w:t>37012 Bussolengo (Verona) Italia.</w:t>
      </w:r>
    </w:p>
    <w:p w14:paraId="1CF05D78" w14:textId="77777777" w:rsidR="00B03ABD" w:rsidRDefault="00B03ABD" w:rsidP="00C52F19">
      <w:pPr>
        <w:spacing w:before="40" w:after="40" w:line="240" w:lineRule="auto"/>
        <w:rPr>
          <w:color w:val="000000" w:themeColor="text1"/>
          <w:sz w:val="20"/>
          <w:u w:val="single"/>
        </w:rPr>
      </w:pPr>
    </w:p>
    <w:p w14:paraId="37577BCB" w14:textId="19CB07A1" w:rsidR="00455012" w:rsidRDefault="0015484D" w:rsidP="00C52F19">
      <w:pPr>
        <w:spacing w:before="40" w:after="40" w:line="240" w:lineRule="auto"/>
        <w:rPr>
          <w:rStyle w:val="Hyperlink"/>
          <w:sz w:val="20"/>
          <w:szCs w:val="20"/>
        </w:rPr>
      </w:pPr>
      <w:r>
        <w:rPr>
          <w:color w:val="000000" w:themeColor="text1"/>
          <w:sz w:val="20"/>
          <w:u w:val="single"/>
        </w:rPr>
        <w:t>Copia esemplare</w:t>
      </w:r>
      <w:r>
        <w:rPr>
          <w:color w:val="000000" w:themeColor="text1"/>
          <w:sz w:val="20"/>
          <w:u w:val="single"/>
        </w:rPr>
        <w:br/>
      </w:r>
      <w:r>
        <w:rPr>
          <w:sz w:val="20"/>
        </w:rPr>
        <w:t xml:space="preserve">a1kommunikation </w:t>
      </w:r>
      <w:proofErr w:type="spellStart"/>
      <w:r>
        <w:rPr>
          <w:sz w:val="20"/>
        </w:rPr>
        <w:t>Schweizer</w:t>
      </w:r>
      <w:proofErr w:type="spellEnd"/>
      <w:r>
        <w:rPr>
          <w:sz w:val="20"/>
        </w:rPr>
        <w:t xml:space="preserve"> GmbH, </w:t>
      </w:r>
      <w:proofErr w:type="spellStart"/>
      <w:r>
        <w:rPr>
          <w:sz w:val="20"/>
        </w:rPr>
        <w:t>Rüdiger</w:t>
      </w:r>
      <w:proofErr w:type="spellEnd"/>
      <w:r>
        <w:rPr>
          <w:sz w:val="20"/>
        </w:rPr>
        <w:t xml:space="preserve"> KEMPA,</w:t>
      </w:r>
      <w:r>
        <w:rPr>
          <w:sz w:val="20"/>
        </w:rPr>
        <w:br/>
      </w:r>
      <w:hyperlink r:id="rId14" w:history="1">
        <w:r>
          <w:rPr>
            <w:rStyle w:val="Hyperlink"/>
            <w:sz w:val="20"/>
          </w:rPr>
          <w:t>rke@a1kommunikation.de</w:t>
        </w:r>
      </w:hyperlink>
    </w:p>
    <w:p w14:paraId="52B6AFE4" w14:textId="32763BF7" w:rsidR="0001297E" w:rsidRPr="00C52F19" w:rsidRDefault="0001297E" w:rsidP="00C52F19">
      <w:pPr>
        <w:spacing w:before="40" w:after="40" w:line="240" w:lineRule="auto"/>
        <w:rPr>
          <w:color w:val="0563C1" w:themeColor="hyperlink"/>
          <w:sz w:val="20"/>
          <w:szCs w:val="20"/>
          <w:u w:val="single"/>
        </w:rPr>
      </w:pPr>
      <w:proofErr w:type="spellStart"/>
      <w:r>
        <w:rPr>
          <w:sz w:val="20"/>
        </w:rPr>
        <w:t>Oberdorfstraße</w:t>
      </w:r>
      <w:proofErr w:type="spellEnd"/>
      <w:r>
        <w:rPr>
          <w:sz w:val="20"/>
        </w:rPr>
        <w:t xml:space="preserve"> 31A, 70794 </w:t>
      </w:r>
      <w:proofErr w:type="spellStart"/>
      <w:r>
        <w:rPr>
          <w:sz w:val="20"/>
        </w:rPr>
        <w:t>Filderstadt</w:t>
      </w:r>
      <w:proofErr w:type="spellEnd"/>
      <w:r>
        <w:rPr>
          <w:sz w:val="20"/>
        </w:rPr>
        <w:t>, Germania</w:t>
      </w:r>
    </w:p>
    <w:p w14:paraId="63641C8E" w14:textId="77777777" w:rsidR="00D322C7" w:rsidRDefault="00D322C7" w:rsidP="00604BFB">
      <w:pPr>
        <w:jc w:val="both"/>
        <w:rPr>
          <w:sz w:val="16"/>
          <w:szCs w:val="16"/>
        </w:rPr>
      </w:pPr>
    </w:p>
    <w:p w14:paraId="790215F6" w14:textId="27FF20BB" w:rsidR="00670F02" w:rsidRPr="00604BFB" w:rsidRDefault="00EC6E68" w:rsidP="00604BFB">
      <w:pPr>
        <w:jc w:val="both"/>
        <w:rPr>
          <w:sz w:val="16"/>
          <w:szCs w:val="16"/>
        </w:rPr>
      </w:pPr>
      <w:r>
        <w:rPr>
          <w:sz w:val="16"/>
        </w:rPr>
        <w:t xml:space="preserve">Se non si desidera più ricevere comunicati stampa da Fronius International GmbH, Business Unit Solar Energy, rispondere con "UNSUBSCRIBE" all'indirizzo e-mail </w:t>
      </w:r>
      <w:hyperlink r:id="rId15" w:history="1">
        <w:r>
          <w:rPr>
            <w:rStyle w:val="Hyperlink"/>
            <w:sz w:val="16"/>
          </w:rPr>
          <w:t>cancellation@fronius.com</w:t>
        </w:r>
      </w:hyperlink>
      <w:r>
        <w:rPr>
          <w:sz w:val="16"/>
        </w:rPr>
        <w:t>.</w:t>
      </w:r>
    </w:p>
    <w:sectPr w:rsidR="00670F02" w:rsidRPr="00604BFB">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7D3C4" w14:textId="77777777" w:rsidR="00500DE2" w:rsidRDefault="00500DE2" w:rsidP="00B54547">
      <w:pPr>
        <w:spacing w:after="0" w:line="240" w:lineRule="auto"/>
      </w:pPr>
      <w:r>
        <w:separator/>
      </w:r>
    </w:p>
  </w:endnote>
  <w:endnote w:type="continuationSeparator" w:id="0">
    <w:p w14:paraId="016D43B4" w14:textId="77777777" w:rsidR="00500DE2" w:rsidRDefault="00500DE2"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000002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 informazioni: pubbliche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Classe di informazioni: pubbliche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3A87F" w14:textId="77777777" w:rsidR="00500DE2" w:rsidRDefault="00500DE2" w:rsidP="00B54547">
      <w:pPr>
        <w:spacing w:after="0" w:line="240" w:lineRule="auto"/>
      </w:pPr>
      <w:r>
        <w:separator/>
      </w:r>
    </w:p>
  </w:footnote>
  <w:footnote w:type="continuationSeparator" w:id="0">
    <w:p w14:paraId="6ADD097B" w14:textId="77777777" w:rsidR="00500DE2" w:rsidRDefault="00500DE2"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4"/>
  </w:num>
  <w:num w:numId="4">
    <w:abstractNumId w:val="6"/>
  </w:num>
  <w:num w:numId="5">
    <w:abstractNumId w:val="5"/>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94C"/>
    <w:rsid w:val="0001297E"/>
    <w:rsid w:val="000152FA"/>
    <w:rsid w:val="00030C3B"/>
    <w:rsid w:val="00056836"/>
    <w:rsid w:val="00064C19"/>
    <w:rsid w:val="00097F92"/>
    <w:rsid w:val="000F20D9"/>
    <w:rsid w:val="00102F0B"/>
    <w:rsid w:val="001221D1"/>
    <w:rsid w:val="0015484D"/>
    <w:rsid w:val="001668E3"/>
    <w:rsid w:val="001742A0"/>
    <w:rsid w:val="00182ABE"/>
    <w:rsid w:val="00196F99"/>
    <w:rsid w:val="001A34C4"/>
    <w:rsid w:val="001B4713"/>
    <w:rsid w:val="0024308B"/>
    <w:rsid w:val="00253496"/>
    <w:rsid w:val="00282219"/>
    <w:rsid w:val="00282F7B"/>
    <w:rsid w:val="002A39B1"/>
    <w:rsid w:val="002D0988"/>
    <w:rsid w:val="002D620C"/>
    <w:rsid w:val="002D7A44"/>
    <w:rsid w:val="002E4785"/>
    <w:rsid w:val="002F207D"/>
    <w:rsid w:val="003405C8"/>
    <w:rsid w:val="00361BAB"/>
    <w:rsid w:val="0036224A"/>
    <w:rsid w:val="003B4A45"/>
    <w:rsid w:val="003D4B8E"/>
    <w:rsid w:val="003E6855"/>
    <w:rsid w:val="003F0C94"/>
    <w:rsid w:val="00403C78"/>
    <w:rsid w:val="00410DAD"/>
    <w:rsid w:val="00424297"/>
    <w:rsid w:val="00435EB8"/>
    <w:rsid w:val="004420B7"/>
    <w:rsid w:val="00451F65"/>
    <w:rsid w:val="00455012"/>
    <w:rsid w:val="00470A9D"/>
    <w:rsid w:val="0049392F"/>
    <w:rsid w:val="00500DE2"/>
    <w:rsid w:val="0051114E"/>
    <w:rsid w:val="00512C4C"/>
    <w:rsid w:val="00535E04"/>
    <w:rsid w:val="00542018"/>
    <w:rsid w:val="00582BF5"/>
    <w:rsid w:val="005958B0"/>
    <w:rsid w:val="005A26BF"/>
    <w:rsid w:val="00604BFB"/>
    <w:rsid w:val="00606028"/>
    <w:rsid w:val="00670F02"/>
    <w:rsid w:val="006D2AEF"/>
    <w:rsid w:val="006D462C"/>
    <w:rsid w:val="006D6430"/>
    <w:rsid w:val="00703F47"/>
    <w:rsid w:val="00716778"/>
    <w:rsid w:val="00730C60"/>
    <w:rsid w:val="00755473"/>
    <w:rsid w:val="00765AC0"/>
    <w:rsid w:val="007A57E3"/>
    <w:rsid w:val="007C61B7"/>
    <w:rsid w:val="007E3E5C"/>
    <w:rsid w:val="007F1F01"/>
    <w:rsid w:val="00816914"/>
    <w:rsid w:val="008243CF"/>
    <w:rsid w:val="00824AA5"/>
    <w:rsid w:val="00831633"/>
    <w:rsid w:val="008404EE"/>
    <w:rsid w:val="008860E2"/>
    <w:rsid w:val="008955A6"/>
    <w:rsid w:val="008C5190"/>
    <w:rsid w:val="008D384B"/>
    <w:rsid w:val="008E1774"/>
    <w:rsid w:val="008E264C"/>
    <w:rsid w:val="008F4ED5"/>
    <w:rsid w:val="00900C18"/>
    <w:rsid w:val="00906679"/>
    <w:rsid w:val="00944333"/>
    <w:rsid w:val="00960B04"/>
    <w:rsid w:val="00962B6D"/>
    <w:rsid w:val="00963BB4"/>
    <w:rsid w:val="00965015"/>
    <w:rsid w:val="009A0CD9"/>
    <w:rsid w:val="00A27D32"/>
    <w:rsid w:val="00A66F74"/>
    <w:rsid w:val="00A94A9B"/>
    <w:rsid w:val="00AB3B58"/>
    <w:rsid w:val="00AE7975"/>
    <w:rsid w:val="00B03ABD"/>
    <w:rsid w:val="00B217F4"/>
    <w:rsid w:val="00B23B1E"/>
    <w:rsid w:val="00B25C3B"/>
    <w:rsid w:val="00B309A8"/>
    <w:rsid w:val="00B422E6"/>
    <w:rsid w:val="00B52F2E"/>
    <w:rsid w:val="00B54547"/>
    <w:rsid w:val="00B8257D"/>
    <w:rsid w:val="00BE27A5"/>
    <w:rsid w:val="00C1074C"/>
    <w:rsid w:val="00C17BEE"/>
    <w:rsid w:val="00C35E5E"/>
    <w:rsid w:val="00C44B9C"/>
    <w:rsid w:val="00C52F19"/>
    <w:rsid w:val="00C921A2"/>
    <w:rsid w:val="00CB1448"/>
    <w:rsid w:val="00CC0612"/>
    <w:rsid w:val="00CC1139"/>
    <w:rsid w:val="00CD1E72"/>
    <w:rsid w:val="00D0522E"/>
    <w:rsid w:val="00D13C22"/>
    <w:rsid w:val="00D14FE0"/>
    <w:rsid w:val="00D322C7"/>
    <w:rsid w:val="00D4343E"/>
    <w:rsid w:val="00D54D23"/>
    <w:rsid w:val="00D726F2"/>
    <w:rsid w:val="00D77E57"/>
    <w:rsid w:val="00DE201A"/>
    <w:rsid w:val="00DF5290"/>
    <w:rsid w:val="00E2626F"/>
    <w:rsid w:val="00E723FD"/>
    <w:rsid w:val="00E83DD7"/>
    <w:rsid w:val="00E9591C"/>
    <w:rsid w:val="00EA26EC"/>
    <w:rsid w:val="00EC6E68"/>
    <w:rsid w:val="00ED5549"/>
    <w:rsid w:val="00F12293"/>
    <w:rsid w:val="00F26BCD"/>
    <w:rsid w:val="00F47E87"/>
    <w:rsid w:val="00FD0EE7"/>
    <w:rsid w:val="00FD50E0"/>
    <w:rsid w:val="00FE3F42"/>
    <w:rsid w:val="00FE5AF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it-IT"/>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it-IT"/>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Fett">
    <w:name w:val="Strong"/>
    <w:basedOn w:val="Absatz-Standardschriftart"/>
    <w:uiPriority w:val="22"/>
    <w:qFormat/>
    <w:rsid w:val="001742A0"/>
    <w:rPr>
      <w:b/>
      <w:bCs/>
    </w:rPr>
  </w:style>
  <w:style w:type="character" w:styleId="Kommentarzeichen">
    <w:name w:val="annotation reference"/>
    <w:basedOn w:val="Absatz-Standardschriftart"/>
    <w:uiPriority w:val="99"/>
    <w:semiHidden/>
    <w:unhideWhenUsed/>
    <w:rsid w:val="00BE27A5"/>
    <w:rPr>
      <w:sz w:val="16"/>
      <w:szCs w:val="16"/>
    </w:rPr>
  </w:style>
  <w:style w:type="paragraph" w:styleId="Kommentartext">
    <w:name w:val="annotation text"/>
    <w:basedOn w:val="Standard"/>
    <w:link w:val="KommentartextZchn"/>
    <w:uiPriority w:val="99"/>
    <w:unhideWhenUsed/>
    <w:rsid w:val="00BE27A5"/>
    <w:pPr>
      <w:spacing w:line="240" w:lineRule="auto"/>
    </w:pPr>
    <w:rPr>
      <w:sz w:val="20"/>
      <w:szCs w:val="20"/>
    </w:rPr>
  </w:style>
  <w:style w:type="character" w:customStyle="1" w:styleId="KommentartextZchn">
    <w:name w:val="Kommentartext Zchn"/>
    <w:basedOn w:val="Absatz-Standardschriftart"/>
    <w:link w:val="Kommentartext"/>
    <w:uiPriority w:val="99"/>
    <w:rsid w:val="00BE27A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BE27A5"/>
    <w:rPr>
      <w:b/>
      <w:bCs/>
    </w:rPr>
  </w:style>
  <w:style w:type="character" w:customStyle="1" w:styleId="KommentarthemaZchn">
    <w:name w:val="Kommentarthema Zchn"/>
    <w:basedOn w:val="KommentartextZchn"/>
    <w:link w:val="Kommentarthema"/>
    <w:uiPriority w:val="99"/>
    <w:semiHidden/>
    <w:rsid w:val="00BE27A5"/>
    <w:rPr>
      <w:rFonts w:ascii="Noto Sans" w:hAnsi="Noto Sans"/>
      <w:b/>
      <w:bCs/>
      <w:sz w:val="20"/>
      <w:szCs w:val="20"/>
    </w:rPr>
  </w:style>
  <w:style w:type="paragraph" w:styleId="berarbeitung">
    <w:name w:val="Revision"/>
    <w:hidden/>
    <w:uiPriority w:val="99"/>
    <w:semiHidden/>
    <w:rsid w:val="00BE27A5"/>
    <w:pPr>
      <w:spacing w:after="0" w:line="240" w:lineRule="auto"/>
    </w:pPr>
    <w:rPr>
      <w:rFonts w:ascii="Noto Sans" w:hAnsi="Noto Sans"/>
    </w:rPr>
  </w:style>
  <w:style w:type="paragraph" w:styleId="StandardWeb">
    <w:name w:val="Normal (Web)"/>
    <w:basedOn w:val="Standard"/>
    <w:uiPriority w:val="99"/>
    <w:semiHidden/>
    <w:unhideWhenUsed/>
    <w:rsid w:val="00E2626F"/>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Hervorhebung">
    <w:name w:val="Emphasis"/>
    <w:basedOn w:val="Absatz-Standardschriftart"/>
    <w:uiPriority w:val="20"/>
    <w:qFormat/>
    <w:rsid w:val="00E2626F"/>
    <w:rPr>
      <w:i/>
      <w:iCs/>
    </w:rPr>
  </w:style>
  <w:style w:type="paragraph" w:styleId="Zitat">
    <w:name w:val="Quote"/>
    <w:basedOn w:val="Standard"/>
    <w:next w:val="Standard"/>
    <w:link w:val="ZitatZchn"/>
    <w:uiPriority w:val="29"/>
    <w:qFormat/>
    <w:rsid w:val="00E2626F"/>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E2626F"/>
    <w:rPr>
      <w:rFonts w:ascii="Noto Sans" w:hAnsi="Noto Sans"/>
      <w:i/>
      <w:iCs/>
      <w:color w:val="404040" w:themeColor="text1" w:themeTint="BF"/>
    </w:rPr>
  </w:style>
  <w:style w:type="paragraph" w:styleId="Sprechblasentext">
    <w:name w:val="Balloon Text"/>
    <w:basedOn w:val="Standard"/>
    <w:link w:val="SprechblasentextZchn"/>
    <w:uiPriority w:val="99"/>
    <w:semiHidden/>
    <w:unhideWhenUsed/>
    <w:rsid w:val="0005683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568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906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Baschirotto.Paola@fronius.com"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hyperlink" Target="https://solar.htw-berlin.de/studien/speicher-inspektion-2022/" TargetMode="External"/><Relationship Id="rId12" Type="http://schemas.openxmlformats.org/officeDocument/2006/relationships/hyperlink" Target="mailto:schartner.andrea@fronius.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5.xml"/><Relationship Id="rId5" Type="http://schemas.openxmlformats.org/officeDocument/2006/relationships/footnotes" Target="footnotes.xml"/><Relationship Id="rId15" Type="http://schemas.openxmlformats.org/officeDocument/2006/relationships/hyperlink" Target="mailto:cancellation@fronius.com" TargetMode="External"/><Relationship Id="rId23" Type="http://schemas.openxmlformats.org/officeDocument/2006/relationships/customXml" Target="../customXml/item4.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rke@a1kommunikation.de"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2022/04</title_TI_DE>
    <title_TI_NO xmlns="dc0c2c3d-e9fc-4a0d-820b-87ab82e65f20">Energy storage inspection 2022/04</title_TI_NO>
    <Documenttype_PT xmlns="dc0c2c3d-e9fc-4a0d-820b-87ab82e65f20">Comunicado à imprensa</Documenttype_PT>
    <Documenttype_RU xmlns="dc0c2c3d-e9fc-4a0d-820b-87ab82e65f20">Пресс-релиз</Documenttype_RU>
    <title_TI_TR xmlns="dc0c2c3d-e9fc-4a0d-820b-87ab82e65f20">Energy storage inspection 2022/04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2022/04</title_TI_TH>
    <Licence_x0020_information xmlns="dc0c2c3d-e9fc-4a0d-820b-87ab82e65f20">(c) Fronius International</Licence_x0020_information>
    <title_TI_EA xmlns="dc0c2c3d-e9fc-4a0d-820b-87ab82e65f20">Energy storage inspection 2022/04</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2022/04</title_TI_DA>
    <Documenttype_TR xmlns="dc0c2c3d-e9fc-4a0d-820b-87ab82e65f20">Basın bülteni</Documenttype_TR>
    <title_TI_PL xmlns="dc0c2c3d-e9fc-4a0d-820b-87ab82e65f20">Energy storage inspection 2022/04</title_TI_PL>
    <Documenttype_TH xmlns="dc0c2c3d-e9fc-4a0d-820b-87ab82e65f20">ข่าวประชาสัมพันธ์</Documenttype_TH>
    <title_TI_EL xmlns="dc0c2c3d-e9fc-4a0d-820b-87ab82e65f20">Energy storage inspection 2022/04</title_TI_EL>
    <Documenttype_EA xmlns="dc0c2c3d-e9fc-4a0d-820b-87ab82e65f20">Press Release</Documenttype_EA>
    <Web_x0020_Display_x0020_Title_x0020_ET xmlns="dc0c2c3d-e9fc-4a0d-820b-87ab82e65f20">Energy storage inspection 2022/04</Web_x0020_Display_x0020_Title_x0020_ET>
    <Resolution xmlns="dc0c2c3d-e9fc-4a0d-820b-87ab82e65f20" xsi:nil="true"/>
    <Division xmlns="dc0c2c3d-e9fc-4a0d-820b-87ab82e65f20">Solar Energy</Division>
    <Permission xmlns="dc0c2c3d-e9fc-4a0d-820b-87ab82e65f20">Public</Permis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Energy storage inspection 2022/04</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Energy storage inspection 2022/04</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 xsi:nil="true"/>
    <title_TI_NL xmlns="dc0c2c3d-e9fc-4a0d-820b-87ab82e65f20">Energy storage inspection 2022/04</title_TI_NL>
    <contentservId xmlns="c4543867-fb67-4424-a255-4d54d75e50e3">C-138956</contentservId>
    <title_TI_IT xmlns="dc0c2c3d-e9fc-4a0d-820b-87ab82e65f20">Energy storage inspection 2022/04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2022/04</title_TI_UA>
    <title_TI_JP xmlns="dc0c2c3d-e9fc-4a0d-820b-87ab82e65f20">Energy storage inspection 2022/04</title_TI_JP>
    <Documenttype_NL xmlns="dc0c2c3d-e9fc-4a0d-820b-87ab82e65f20">Persbericht</Documenttype_NL>
    <title_TI_RO xmlns="dc0c2c3d-e9fc-4a0d-820b-87ab82e65f20">Energy storage inspection 2022/04</title_TI_RO>
    <Documenttype_NB xmlns="c4543867-fb67-4424-a255-4d54d75e50e3">Presseinformasjon</Documenttype_NB>
    <title_ti_nb xmlns="dc0c2c3d-e9fc-4a0d-820b-87ab82e65f20" xsi:nil="true"/>
    <title_TI_ES xmlns="dc0c2c3d-e9fc-4a0d-820b-87ab82e65f20">Energy storage inspection 2022/04</title_TI_ES>
    <title_TI_JA xmlns="dc0c2c3d-e9fc-4a0d-820b-87ab82e65f20">Energy storage inspection 2022/04</title_TI_JA>
    <Documenttype_IT xmlns="dc0c2c3d-e9fc-4a0d-820b-87ab82e65f20">Comunicato stampa</Documenttype_IT>
    <Documenttype_ZH xmlns="dc0c2c3d-e9fc-4a0d-820b-87ab82e65f20">Press Release</Documenttype_ZH>
    <TaxCatchAll xmlns="92f60987-cbcc-4245-baaf-239af3bfd6e8">
      <Value>262</Value>
      <Value>1</Value>
    </TaxCatchAll>
    <AGB xmlns="dc0c2c3d-e9fc-4a0d-820b-87ab82e65f20">false</AGB>
    <title_TI_EN xmlns="dc0c2c3d-e9fc-4a0d-820b-87ab82e65f20">Energy storage inspection 2022/04</title_TI_EN>
    <MRMKeyWords xmlns="dc0c2c3d-e9fc-4a0d-820b-87ab82e65f20">#Presse#Presseaussendung#Strom#GEN24#GEN24 Plus#press#press release#current#presse#presseaussendung#pressrelease#strom#gen24#gen24plus#</MRMKeyWords>
    <title_ti_zh xmlns="dc0c2c3d-e9fc-4a0d-820b-87ab82e65f20">Energy storage inspection 2022/04</title_ti_zh>
    <MRMID xmlns="dc0c2c3d-e9fc-4a0d-820b-87ab82e65f20">M-182531</MRMID>
    <Documenttype_UK xmlns="c4543867-fb67-4424-a255-4d54d75e50e3">Прес-релізи</Documenttype_UK>
    <title_TI_SK xmlns="dc0c2c3d-e9fc-4a0d-820b-87ab82e65f20">Energy storage inspection 2022/04</title_TI_SK>
    <Documenttype_UA xmlns="dc0c2c3d-e9fc-4a0d-820b-87ab82e65f20">Прес-релізи</Documenttype_UA>
    <title_TI_HU xmlns="dc0c2c3d-e9fc-4a0d-820b-87ab82e65f20">Energy storage inspection 2022/04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2022/04</title_TI_PT>
    <title_ti_fi xmlns="dc0c2c3d-e9fc-4a0d-820b-87ab82e65f20">Energy storage inspection 2022/04</title_ti_fi>
    <Country xmlns="dc0c2c3d-e9fc-4a0d-820b-87ab82e65f20">
      <Value>22</Value>
    </Country>
    <fro_spid xmlns="dc0c2c3d-e9fc-4a0d-820b-87ab82e65f20">8666;SE</fro_spid>
    <title_TI_RU xmlns="dc0c2c3d-e9fc-4a0d-820b-87ab82e65f20">Energy storage inspection 2022/04</title_TI_RU>
    <Documenttype_JA xmlns="dc0c2c3d-e9fc-4a0d-820b-87ab82e65f20">ニュースリリース</Documenttype_JA>
    <Colour_x0020_space xmlns="dc0c2c3d-e9fc-4a0d-820b-87ab82e65f20" xsi:nil="true"/>
    <title_TI_CS xmlns="dc0c2c3d-e9fc-4a0d-820b-87ab82e65f20">Energy storage inspection 2022/04</title_TI_CS>
    <title_TI_AR xmlns="dc0c2c3d-e9fc-4a0d-820b-87ab82e65f20">Energy storage inspection 2022/04</title_TI_AR>
  </documentManagement>
</p:properties>
</file>

<file path=customXml/itemProps1.xml><?xml version="1.0" encoding="utf-8"?>
<ds:datastoreItem xmlns:ds="http://schemas.openxmlformats.org/officeDocument/2006/customXml" ds:itemID="{1A6A33AB-3213-40D4-8BBE-8A8E9E92A173}"/>
</file>

<file path=customXml/itemProps2.xml><?xml version="1.0" encoding="utf-8"?>
<ds:datastoreItem xmlns:ds="http://schemas.openxmlformats.org/officeDocument/2006/customXml" ds:itemID="{785C06FC-7EAA-45FD-9A4D-E1AEEC6C4DBB}"/>
</file>

<file path=customXml/itemProps3.xml><?xml version="1.0" encoding="utf-8"?>
<ds:datastoreItem xmlns:ds="http://schemas.openxmlformats.org/officeDocument/2006/customXml" ds:itemID="{7273E715-7419-4219-92A9-45299873D33A}"/>
</file>

<file path=customXml/itemProps4.xml><?xml version="1.0" encoding="utf-8"?>
<ds:datastoreItem xmlns:ds="http://schemas.openxmlformats.org/officeDocument/2006/customXml" ds:itemID="{1A880268-6615-4B2C-9533-CEEE1D8C2311}"/>
</file>

<file path=customXml/itemProps5.xml><?xml version="1.0" encoding="utf-8"?>
<ds:datastoreItem xmlns:ds="http://schemas.openxmlformats.org/officeDocument/2006/customXml" ds:itemID="{3C472329-2D81-45A9-B6F6-33BAB4DB030D}"/>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932</Words>
  <Characters>5878</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SE_PR_Energy_storage_inspection_IT</dc:title>
  <dc:subject/>
  <dc:creator>Kneringer Daniel</dc:creator>
  <cp:keywords/>
  <dc:description/>
  <cp:lastModifiedBy>Majetic Kristina</cp:lastModifiedBy>
  <cp:revision>4</cp:revision>
  <cp:lastPrinted>2022-03-23T08:51:00Z</cp:lastPrinted>
  <dcterms:created xsi:type="dcterms:W3CDTF">2022-04-20T09:36:00Z</dcterms:created>
  <dcterms:modified xsi:type="dcterms:W3CDTF">2022-04-25T05:23:00Z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262;##IT|ab4b68f7-1700-40a2-af1b-15691cfd4f91</vt:lpwstr>
  </property>
  <property fmtid="{D5CDD505-2E9C-101B-9397-08002B2CF9AE}" pid="9" name="FroConDoc_language">
    <vt:lpwstr>1;#DE|676160ea-61f7-4cef-8b4c-1724dec2206e</vt:lpwstr>
  </property>
</Properties>
</file>