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Sajtóközlemény</w:t>
      </w:r>
    </w:p>
    <w:p w14:paraId="07CB8F03" w14:textId="06F6FC04" w:rsidR="00ED5549" w:rsidRPr="002F207D" w:rsidRDefault="0051114E" w:rsidP="00604BFB">
      <w:pPr>
        <w:jc w:val="both"/>
      </w:pPr>
      <w:r>
        <w:rPr>
          <w:sz w:val="20"/>
        </w:rPr>
        <w:t>Napenergia</w:t>
      </w:r>
    </w:p>
    <w:p w14:paraId="3EF5C6DD" w14:textId="6608F6CF" w:rsidR="00ED5549" w:rsidRPr="002F207D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207D" w:rsidRDefault="00E83DD7" w:rsidP="00604BFB">
      <w:pPr>
        <w:jc w:val="both"/>
        <w:rPr>
          <w:sz w:val="20"/>
          <w:szCs w:val="20"/>
        </w:rPr>
      </w:pPr>
    </w:p>
    <w:p w14:paraId="0A1238B9" w14:textId="40FC6CAE" w:rsidR="001742A0" w:rsidRDefault="00606028" w:rsidP="00604BFB">
      <w:pPr>
        <w:pStyle w:val="berschrift2"/>
        <w:jc w:val="both"/>
        <w:rPr>
          <w:color w:val="auto"/>
          <w:sz w:val="22"/>
          <w:szCs w:val="20"/>
        </w:rPr>
      </w:pPr>
      <w:r>
        <w:rPr>
          <w:color w:val="auto"/>
          <w:sz w:val="22"/>
        </w:rPr>
        <w:t>Energiatároló-vizsgálat 2022</w:t>
      </w:r>
    </w:p>
    <w:p w14:paraId="2CC4F935" w14:textId="2914AED6" w:rsidR="00ED5549" w:rsidRPr="001742A0" w:rsidRDefault="001742A0" w:rsidP="00604BFB">
      <w:pPr>
        <w:jc w:val="both"/>
        <w:rPr>
          <w:sz w:val="20"/>
          <w:szCs w:val="20"/>
        </w:rPr>
      </w:pPr>
      <w:r>
        <w:rPr>
          <w:sz w:val="32"/>
        </w:rPr>
        <w:t>A Fronius első és második helyezést ért el, amivel ismét elismerést aratott</w:t>
      </w:r>
    </w:p>
    <w:p w14:paraId="47D72435" w14:textId="5E284DD3" w:rsidR="001668E3" w:rsidRPr="00604BFB" w:rsidRDefault="00ED5549" w:rsidP="00604BFB">
      <w:pPr>
        <w:jc w:val="both"/>
        <w:rPr>
          <w:sz w:val="24"/>
          <w:szCs w:val="24"/>
        </w:rPr>
      </w:pPr>
      <w:r>
        <w:rPr>
          <w:i/>
          <w:sz w:val="24"/>
        </w:rPr>
        <w:t>(Wels, 2022/0</w:t>
      </w:r>
      <w:r w:rsidR="007D5607">
        <w:rPr>
          <w:i/>
          <w:sz w:val="24"/>
        </w:rPr>
        <w:t>4</w:t>
      </w:r>
      <w:r>
        <w:rPr>
          <w:i/>
          <w:sz w:val="24"/>
        </w:rPr>
        <w:t>/</w:t>
      </w:r>
      <w:r w:rsidR="007D5607">
        <w:rPr>
          <w:i/>
          <w:sz w:val="24"/>
        </w:rPr>
        <w:t>25</w:t>
      </w:r>
      <w:r>
        <w:rPr>
          <w:i/>
          <w:sz w:val="24"/>
        </w:rPr>
        <w:t xml:space="preserve">) </w:t>
      </w:r>
      <w:r>
        <w:rPr>
          <w:sz w:val="24"/>
        </w:rPr>
        <w:t>A Fronius egymás után harmadik alkalommal ért el kiváló helyezést a Berlini Alkalmazott Tudományok Egyeteme (HTW) által végzett éves energiatároló-vizsgálaton. Az első helyet a Fronius Primo GEN24 6.0 Plus szerezte meg az 5 kWp kategóriában, míg a Fronius Symo GEN24 10.0 Plus második helyezést ért el a 10 kWp kategóriában. Szintén a Fronius volt az egyetlen invertergyártó vállalat, amely ezeket az eredményeket „A” energiaosztállyal volt képes teljesíteni.</w:t>
      </w:r>
    </w:p>
    <w:p w14:paraId="2394DF3F" w14:textId="77777777" w:rsidR="003E6855" w:rsidRPr="002F207D" w:rsidRDefault="003E6855" w:rsidP="00604BFB">
      <w:pPr>
        <w:jc w:val="both"/>
        <w:rPr>
          <w:sz w:val="20"/>
          <w:szCs w:val="20"/>
        </w:rPr>
      </w:pPr>
    </w:p>
    <w:p w14:paraId="5EC11116" w14:textId="0DAC0424" w:rsidR="001742A0" w:rsidRPr="00944333" w:rsidRDefault="001742A0" w:rsidP="001742A0">
      <w:pPr>
        <w:jc w:val="both"/>
        <w:rPr>
          <w:sz w:val="20"/>
          <w:szCs w:val="20"/>
        </w:rPr>
      </w:pPr>
      <w:r>
        <w:rPr>
          <w:sz w:val="20"/>
        </w:rPr>
        <w:t>A HTW Berlin által végzett energiatároló-vizsgálat a teljes iparágat átfogó tanulmány, melyet minden évben független intézetek készítenek el a magánháztartások napelemes tárolórendszereinek összehasonlítására. Ebben az évben 14 gyártó 19 energiatároló rendszere szállt versenybe egymással. A rendszerteljesítmény-mutató (System Performance Index – SPI) segítségével értékelték őket, amely a telepítők és az energiahatékony tárolási megoldást kereső végfelhasználók számára jó referenciát kínáló, független értékelési módszer. Az eredmények pedig lenyűgözőek: a rendszer magas hatásfoka azt jelenti, hogy kevesebb az energiaveszteség, ami magasabb hozamokhoz vezet, és így a beruházások gyorsabb megtérülését eredményezi.</w:t>
      </w:r>
    </w:p>
    <w:p w14:paraId="2FB964F7" w14:textId="0C136A33" w:rsidR="001742A0" w:rsidRPr="001742A0" w:rsidRDefault="001742A0" w:rsidP="001742A0">
      <w:pPr>
        <w:jc w:val="both"/>
        <w:rPr>
          <w:sz w:val="20"/>
          <w:szCs w:val="20"/>
        </w:rPr>
      </w:pPr>
      <w:r>
        <w:rPr>
          <w:i/>
          <w:sz w:val="20"/>
        </w:rPr>
        <w:t>„Napsütést viszünk ügyfeleink életébe, amit ismét bemutattunk az energiatároló-vizsgálat során.</w:t>
      </w:r>
      <w:r>
        <w:rPr>
          <w:sz w:val="20"/>
        </w:rPr>
        <w:t xml:space="preserve"> </w:t>
      </w:r>
      <w:r>
        <w:rPr>
          <w:i/>
          <w:sz w:val="20"/>
        </w:rPr>
        <w:t>Ez a harmadik alkalom, hogy tesztgyőztesként kerültünk ki.</w:t>
      </w:r>
      <w:r>
        <w:rPr>
          <w:sz w:val="20"/>
        </w:rPr>
        <w:t xml:space="preserve"> </w:t>
      </w:r>
      <w:r>
        <w:rPr>
          <w:i/>
          <w:sz w:val="20"/>
        </w:rPr>
        <w:t>A Fronius GEN24 Plus hibrid inverterek tökéletesen megvalósítják a 24 óra napsütésről alkotott víziónkat – azaz, hogy – ami elengedhetetlen a valódi fenntarthatóság biztosításához – a lehető legnagyobb hatásfokkal és a rendelkezésre álló erőforrások lehető legjobb kihasználásával vigyük a nappalból az éjszakába a nap energiáját.</w:t>
      </w:r>
      <w:r>
        <w:rPr>
          <w:sz w:val="20"/>
        </w:rPr>
        <w:t xml:space="preserve"> </w:t>
      </w:r>
      <w:r>
        <w:rPr>
          <w:i/>
          <w:sz w:val="20"/>
        </w:rPr>
        <w:t xml:space="preserve">Ez az eredmény az életciklus-elemzés (Life Cycle Assessment) területén végzett következetes munkánk eredménye” – </w:t>
      </w:r>
      <w:r>
        <w:rPr>
          <w:sz w:val="20"/>
        </w:rPr>
        <w:t>mondja Martin Hackl, a Fronius International GmbH Solar Energy Üzletágának globális igazgatója.</w:t>
      </w:r>
    </w:p>
    <w:p w14:paraId="766327C0" w14:textId="79601BB1" w:rsidR="001742A0" w:rsidRDefault="00944333" w:rsidP="00944333">
      <w:pPr>
        <w:pStyle w:val="berschrift4"/>
      </w:pPr>
      <w:r>
        <w:t>Az egyetlen gyártó, mely mindkét kategóriában „A” energiahatékonysági osztályt ért el</w:t>
      </w:r>
    </w:p>
    <w:p w14:paraId="4518A34D" w14:textId="56875DEC" w:rsidR="00097F92" w:rsidRPr="00097F92" w:rsidRDefault="001742A0" w:rsidP="001742A0">
      <w:pPr>
        <w:jc w:val="both"/>
        <w:rPr>
          <w:sz w:val="20"/>
          <w:szCs w:val="20"/>
        </w:rPr>
      </w:pPr>
      <w:r>
        <w:rPr>
          <w:sz w:val="20"/>
        </w:rPr>
        <w:t xml:space="preserve">Az 5 kWp kategóriában a Primo GEN24 6.0 Plus és a BYD Battery-Box Premium HVS 7.7 kombinációja érte el a legmagasabb SPI-értéket. A 92,2 százalékos eredményének köszönhetően ez a napelemes tárolórendszer egy teljes százalékponttal megelőzi a második helyezettet. A 10 kWp kategóriában a Symo GEN24 10.0 Plus és a BYD Battery-Box Premium HVS 10.2 kombinációja 94,7 százalékos SPI-értéket ért el. </w:t>
      </w:r>
      <w:r>
        <w:rPr>
          <w:i/>
          <w:sz w:val="20"/>
        </w:rPr>
        <w:t xml:space="preserve">„A GEN24 Plus készülék családnak köszönhetően mi </w:t>
      </w:r>
      <w:r>
        <w:rPr>
          <w:i/>
          <w:sz w:val="20"/>
        </w:rPr>
        <w:lastRenderedPageBreak/>
        <w:t>voltunk az egyetlen gyártó, mely mindkét kategóriában »A« energiahatékonysági osztályt ért el” –</w:t>
      </w:r>
      <w:r>
        <w:rPr>
          <w:sz w:val="20"/>
        </w:rPr>
        <w:t xml:space="preserve"> magyarázza büszkén Susanne Lampl, a Fronius International termékmenedzsere. </w:t>
      </w:r>
    </w:p>
    <w:p w14:paraId="09D1E45F" w14:textId="77777777" w:rsidR="001742A0" w:rsidRPr="00FA0581" w:rsidRDefault="001742A0" w:rsidP="001742A0">
      <w:pPr>
        <w:pStyle w:val="berschrift4"/>
      </w:pPr>
      <w:r>
        <w:t>Sikertényezők: Multi Flow Technology, szilícium-karbid és erős partnerek</w:t>
      </w:r>
    </w:p>
    <w:p w14:paraId="5432D66B" w14:textId="66FFE761" w:rsidR="001742A0" w:rsidRPr="001742A0" w:rsidRDefault="00056836" w:rsidP="001742A0">
      <w:pPr>
        <w:jc w:val="both"/>
        <w:rPr>
          <w:sz w:val="20"/>
          <w:szCs w:val="20"/>
        </w:rPr>
      </w:pPr>
      <w:r>
        <w:rPr>
          <w:sz w:val="20"/>
        </w:rPr>
        <w:t xml:space="preserve">Az energiaáramlások intelligens kezelését lehetővé tevő kulcsfontosságú sikertényező, a Multi Flow Technology nemcsak a tetszőleges irányú, egyidejű energiaáramlást teszi lehetővé, de az akkumulátoros tároló egyen- és váltóáramú csatolását is biztosítja. Ennek alapját a teljesítményelektronika adja. Nagyon magas átalakítási hatásfok érhető el szilíciumkarbid-alapú félvezetők használatával, akár pár száz wattos alacsony kihasználtsága esetén is. </w:t>
      </w:r>
    </w:p>
    <w:p w14:paraId="453C9C56" w14:textId="7C718599" w:rsidR="00E2626F" w:rsidRPr="00E2626F" w:rsidRDefault="001742A0" w:rsidP="00E2626F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Noto Sans" w:eastAsiaTheme="minorHAnsi" w:hAnsi="Noto Sans" w:cstheme="minorBidi"/>
          <w:sz w:val="20"/>
          <w:szCs w:val="20"/>
        </w:rPr>
      </w:pPr>
      <w:r>
        <w:rPr>
          <w:rFonts w:ascii="Noto Sans" w:hAnsi="Noto Sans"/>
          <w:sz w:val="20"/>
        </w:rPr>
        <w:t xml:space="preserve">A Fronius több mint négy éve stratégiai partneri kapcsolat keretében működik együtt a kínai BYD csúcstechnológiai vállalattal. A BYD vállalattal való szoros együttműködés a fejlesztési szakaszban kezdődött, lehetővé téve, hogy a két eszköz optimálisan illeszkedjen egymáshoz, ami magas rendszer hatásfokot eredményez. </w:t>
      </w:r>
    </w:p>
    <w:p w14:paraId="0ECEF8A0" w14:textId="44850473" w:rsidR="001742A0" w:rsidRPr="001742A0" w:rsidRDefault="001742A0" w:rsidP="00E2626F">
      <w:pPr>
        <w:jc w:val="both"/>
        <w:rPr>
          <w:sz w:val="20"/>
          <w:szCs w:val="20"/>
        </w:rPr>
      </w:pPr>
    </w:p>
    <w:p w14:paraId="586761F3" w14:textId="40F055FC" w:rsidR="001742A0" w:rsidRDefault="001742A0" w:rsidP="001742A0">
      <w:r>
        <w:t xml:space="preserve">Az energiatároló-vizsgálattal kapcsolatos összes információ megtalálható a következő weboldalon: </w:t>
      </w:r>
      <w:hyperlink r:id="rId7" w:history="1">
        <w:r>
          <w:rPr>
            <w:rStyle w:val="Hyperlink"/>
          </w:rPr>
          <w:t>https://solar.htw-berlin.de/studien/speicher-inspektion-2022/</w:t>
        </w:r>
      </w:hyperlink>
      <w:r>
        <w:t xml:space="preserve">  </w:t>
      </w:r>
    </w:p>
    <w:p w14:paraId="11257F3F" w14:textId="006BE30A" w:rsidR="001742A0" w:rsidRDefault="001742A0" w:rsidP="001742A0">
      <w:pPr>
        <w:jc w:val="both"/>
        <w:rPr>
          <w:lang w:val="de-DE"/>
        </w:rPr>
      </w:pPr>
    </w:p>
    <w:p w14:paraId="231BBC2A" w14:textId="2FF1D9BC" w:rsidR="001742A0" w:rsidRPr="006F73DA" w:rsidRDefault="001742A0" w:rsidP="00253496">
      <w:pPr>
        <w:spacing w:before="40" w:after="40"/>
        <w:jc w:val="both"/>
      </w:pPr>
      <w:r>
        <w:t>Szavak száma: XXX</w:t>
      </w:r>
    </w:p>
    <w:p w14:paraId="7A0E5C1D" w14:textId="66E315D1" w:rsidR="001742A0" w:rsidRDefault="001742A0" w:rsidP="00253496">
      <w:pPr>
        <w:spacing w:before="40" w:after="40"/>
        <w:jc w:val="both"/>
      </w:pPr>
      <w:r>
        <w:t>Karakterszám: X XXX (szóközökkel együtt)</w:t>
      </w:r>
    </w:p>
    <w:p w14:paraId="13F0C1F8" w14:textId="77777777" w:rsidR="001742A0" w:rsidRDefault="001742A0" w:rsidP="001742A0">
      <w:pPr>
        <w:jc w:val="both"/>
        <w:rPr>
          <w:color w:val="000000" w:themeColor="text1"/>
          <w:lang w:val="de-DE"/>
        </w:rPr>
      </w:pPr>
    </w:p>
    <w:p w14:paraId="7EC534EB" w14:textId="26907B08" w:rsidR="00B8257D" w:rsidRDefault="00B8257D" w:rsidP="00604BFB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Képek</w:t>
      </w:r>
    </w:p>
    <w:p w14:paraId="67D17656" w14:textId="25FDC8FB" w:rsidR="00F12293" w:rsidRPr="00F12293" w:rsidRDefault="00F12293" w:rsidP="00F12293">
      <w:r>
        <w:rPr>
          <w:noProof/>
        </w:rPr>
        <w:drawing>
          <wp:anchor distT="0" distB="0" distL="114300" distR="114300" simplePos="0" relativeHeight="251671552" behindDoc="1" locked="0" layoutInCell="1" allowOverlap="1" wp14:anchorId="1FA7BB84" wp14:editId="0D197D10">
            <wp:simplePos x="0" y="0"/>
            <wp:positionH relativeFrom="margin">
              <wp:align>left</wp:align>
            </wp:positionH>
            <wp:positionV relativeFrom="paragraph">
              <wp:posOffset>304800</wp:posOffset>
            </wp:positionV>
            <wp:extent cx="2641600" cy="1866900"/>
            <wp:effectExtent l="0" t="0" r="6350" b="0"/>
            <wp:wrapTight wrapText="bothSides">
              <wp:wrapPolygon edited="0">
                <wp:start x="0" y="0"/>
                <wp:lineTo x="0" y="21380"/>
                <wp:lineTo x="21496" y="21380"/>
                <wp:lineTo x="21496" y="0"/>
                <wp:lineTo x="0" y="0"/>
              </wp:wrapPolygon>
            </wp:wrapTight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081" cy="187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5527F4" w14:textId="2A1F46BA" w:rsidR="00410DAD" w:rsidRDefault="00410DAD" w:rsidP="00410DAD">
      <w:pPr>
        <w:jc w:val="both"/>
        <w:rPr>
          <w:sz w:val="18"/>
          <w:szCs w:val="18"/>
        </w:rPr>
      </w:pPr>
      <w:r>
        <w:rPr>
          <w:sz w:val="18"/>
        </w:rPr>
        <w:t>A magas rendszer hatásfok gyorsabb megtérülést jelent.</w:t>
      </w:r>
    </w:p>
    <w:p w14:paraId="7415D515" w14:textId="09BA8F05" w:rsidR="00F12293" w:rsidRDefault="00F12293" w:rsidP="00410DAD">
      <w:pPr>
        <w:jc w:val="both"/>
        <w:rPr>
          <w:sz w:val="18"/>
          <w:szCs w:val="18"/>
        </w:rPr>
      </w:pPr>
    </w:p>
    <w:p w14:paraId="550D6CF6" w14:textId="7F19F168" w:rsidR="00F12293" w:rsidRDefault="00F12293" w:rsidP="00410DAD">
      <w:pPr>
        <w:jc w:val="both"/>
        <w:rPr>
          <w:sz w:val="18"/>
          <w:szCs w:val="18"/>
        </w:rPr>
      </w:pPr>
    </w:p>
    <w:p w14:paraId="214F0D08" w14:textId="70B3B542" w:rsidR="00F12293" w:rsidRDefault="00F12293" w:rsidP="00410DAD">
      <w:pPr>
        <w:jc w:val="both"/>
        <w:rPr>
          <w:sz w:val="18"/>
          <w:szCs w:val="18"/>
        </w:rPr>
      </w:pPr>
    </w:p>
    <w:p w14:paraId="393D9E83" w14:textId="0BF6D30C" w:rsidR="00F12293" w:rsidRDefault="00F12293" w:rsidP="00410DAD">
      <w:pPr>
        <w:jc w:val="both"/>
        <w:rPr>
          <w:sz w:val="18"/>
          <w:szCs w:val="18"/>
        </w:rPr>
      </w:pPr>
    </w:p>
    <w:p w14:paraId="170B2377" w14:textId="215C573C" w:rsidR="00F12293" w:rsidRDefault="00F12293" w:rsidP="00410DAD">
      <w:pPr>
        <w:jc w:val="both"/>
        <w:rPr>
          <w:sz w:val="18"/>
          <w:szCs w:val="18"/>
        </w:rPr>
      </w:pPr>
    </w:p>
    <w:p w14:paraId="33A02288" w14:textId="620990D3" w:rsidR="00B8257D" w:rsidRPr="002F207D" w:rsidRDefault="00F12293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70528" behindDoc="1" locked="0" layoutInCell="1" allowOverlap="1" wp14:anchorId="7AE1E538" wp14:editId="53EB7371">
            <wp:simplePos x="0" y="0"/>
            <wp:positionH relativeFrom="column">
              <wp:posOffset>-99695</wp:posOffset>
            </wp:positionH>
            <wp:positionV relativeFrom="paragraph">
              <wp:posOffset>291465</wp:posOffset>
            </wp:positionV>
            <wp:extent cx="2847975" cy="1600835"/>
            <wp:effectExtent l="0" t="0" r="9525" b="0"/>
            <wp:wrapTight wrapText="bothSides">
              <wp:wrapPolygon edited="0">
                <wp:start x="0" y="0"/>
                <wp:lineTo x="0" y="21334"/>
                <wp:lineTo x="21528" y="21334"/>
                <wp:lineTo x="21528" y="0"/>
                <wp:lineTo x="0" y="0"/>
              </wp:wrapPolygon>
            </wp:wrapTight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600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C6DC0F" w14:textId="77777777" w:rsidR="009A0CD9" w:rsidRDefault="009A0CD9" w:rsidP="00410DAD">
      <w:pPr>
        <w:jc w:val="both"/>
        <w:rPr>
          <w:sz w:val="18"/>
          <w:szCs w:val="18"/>
        </w:rPr>
      </w:pPr>
    </w:p>
    <w:p w14:paraId="2C524BDE" w14:textId="1C32B141" w:rsidR="00410DAD" w:rsidRPr="00410DAD" w:rsidRDefault="00410DAD" w:rsidP="00410DAD">
      <w:pPr>
        <w:jc w:val="both"/>
        <w:rPr>
          <w:sz w:val="18"/>
          <w:szCs w:val="18"/>
        </w:rPr>
      </w:pPr>
      <w:r>
        <w:rPr>
          <w:sz w:val="18"/>
        </w:rPr>
        <w:t>A Fronius egymás után harmadik alkalommal első helyezést ért el a HTW energiatároló-vizsgálatán.</w:t>
      </w:r>
    </w:p>
    <w:p w14:paraId="29689614" w14:textId="17CB4B09" w:rsidR="00410DAD" w:rsidRPr="00410DAD" w:rsidRDefault="00410DAD" w:rsidP="002F207D">
      <w:pPr>
        <w:jc w:val="both"/>
        <w:rPr>
          <w:sz w:val="18"/>
          <w:szCs w:val="18"/>
          <w:lang w:val="de-DE"/>
        </w:rPr>
      </w:pPr>
    </w:p>
    <w:p w14:paraId="6BC6EE69" w14:textId="11DCE0CF" w:rsidR="002F207D" w:rsidRPr="002F207D" w:rsidRDefault="002F207D" w:rsidP="002F207D">
      <w:pPr>
        <w:jc w:val="both"/>
        <w:rPr>
          <w:sz w:val="18"/>
          <w:szCs w:val="18"/>
        </w:rPr>
      </w:pPr>
    </w:p>
    <w:p w14:paraId="49B516C6" w14:textId="36C53BDE" w:rsidR="002F207D" w:rsidRDefault="002F207D" w:rsidP="002F207D">
      <w:pPr>
        <w:jc w:val="both"/>
        <w:rPr>
          <w:sz w:val="18"/>
          <w:szCs w:val="18"/>
        </w:rPr>
      </w:pPr>
    </w:p>
    <w:p w14:paraId="4F18D1A5" w14:textId="62755F8A" w:rsidR="00E723FD" w:rsidRDefault="008955A6" w:rsidP="002F207D">
      <w:pPr>
        <w:jc w:val="both"/>
        <w:rPr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3775F17C" wp14:editId="6343D73E">
            <wp:simplePos x="0" y="0"/>
            <wp:positionH relativeFrom="margin">
              <wp:align>left</wp:align>
            </wp:positionH>
            <wp:positionV relativeFrom="paragraph">
              <wp:posOffset>254000</wp:posOffset>
            </wp:positionV>
            <wp:extent cx="2658745" cy="1495425"/>
            <wp:effectExtent l="0" t="0" r="8255" b="0"/>
            <wp:wrapTight wrapText="bothSides">
              <wp:wrapPolygon edited="0">
                <wp:start x="0" y="0"/>
                <wp:lineTo x="0" y="21187"/>
                <wp:lineTo x="21512" y="21187"/>
                <wp:lineTo x="21512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406" cy="149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311D2" w14:textId="32A797C0" w:rsidR="00E723FD" w:rsidRDefault="00E723FD" w:rsidP="002F207D">
      <w:pPr>
        <w:jc w:val="both"/>
        <w:rPr>
          <w:sz w:val="20"/>
          <w:szCs w:val="20"/>
        </w:rPr>
      </w:pPr>
      <w:r>
        <w:rPr>
          <w:sz w:val="20"/>
        </w:rPr>
        <w:t>Martin Hackl, a Fronius International GmbH Solar Energy Üzletágának globális igazgatója.</w:t>
      </w:r>
    </w:p>
    <w:p w14:paraId="3F5589F7" w14:textId="4F9AAAE3" w:rsidR="00E723FD" w:rsidRDefault="00E723FD" w:rsidP="002F207D">
      <w:pPr>
        <w:jc w:val="both"/>
        <w:rPr>
          <w:sz w:val="20"/>
          <w:szCs w:val="20"/>
          <w:lang w:val="en-US"/>
        </w:rPr>
      </w:pPr>
    </w:p>
    <w:p w14:paraId="7B9A9E5A" w14:textId="75B9E55E" w:rsidR="00E723FD" w:rsidRDefault="00E723FD" w:rsidP="002F207D">
      <w:pPr>
        <w:jc w:val="both"/>
        <w:rPr>
          <w:sz w:val="20"/>
          <w:szCs w:val="20"/>
          <w:lang w:val="en-US"/>
        </w:rPr>
      </w:pPr>
    </w:p>
    <w:p w14:paraId="77A13EF5" w14:textId="3026237C" w:rsidR="00E723FD" w:rsidRDefault="00E723FD" w:rsidP="002F207D">
      <w:pPr>
        <w:jc w:val="both"/>
        <w:rPr>
          <w:sz w:val="20"/>
          <w:szCs w:val="20"/>
          <w:lang w:val="en-US"/>
        </w:rPr>
      </w:pPr>
    </w:p>
    <w:p w14:paraId="422C25D0" w14:textId="13CBE37C" w:rsidR="00E723FD" w:rsidRDefault="00F12293" w:rsidP="002F207D">
      <w:pPr>
        <w:jc w:val="both"/>
        <w:rPr>
          <w:sz w:val="20"/>
          <w:szCs w:val="20"/>
        </w:rPr>
      </w:pPr>
      <w:r>
        <w:rPr>
          <w:noProof/>
          <w:sz w:val="20"/>
        </w:rPr>
        <w:drawing>
          <wp:anchor distT="0" distB="0" distL="114300" distR="114300" simplePos="0" relativeHeight="251669504" behindDoc="1" locked="0" layoutInCell="1" allowOverlap="1" wp14:anchorId="26F17967" wp14:editId="3BCAC359">
            <wp:simplePos x="0" y="0"/>
            <wp:positionH relativeFrom="margin">
              <wp:align>left</wp:align>
            </wp:positionH>
            <wp:positionV relativeFrom="paragraph">
              <wp:posOffset>281940</wp:posOffset>
            </wp:positionV>
            <wp:extent cx="2314575" cy="1543685"/>
            <wp:effectExtent l="0" t="0" r="0" b="0"/>
            <wp:wrapTight wrapText="bothSides">
              <wp:wrapPolygon edited="0">
                <wp:start x="0" y="0"/>
                <wp:lineTo x="0" y="21325"/>
                <wp:lineTo x="21333" y="21325"/>
                <wp:lineTo x="21333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666" cy="15506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8D7937" w14:textId="422EADBC" w:rsidR="00E723FD" w:rsidRPr="003F0C94" w:rsidRDefault="00E723FD" w:rsidP="002F207D">
      <w:pPr>
        <w:jc w:val="both"/>
        <w:rPr>
          <w:sz w:val="20"/>
          <w:szCs w:val="20"/>
        </w:rPr>
      </w:pPr>
      <w:r>
        <w:rPr>
          <w:sz w:val="20"/>
        </w:rPr>
        <w:t>Susanne Lampl, a Fronius International GmbH Solar Energy Üzletágának termékmenedzsere.</w:t>
      </w:r>
    </w:p>
    <w:p w14:paraId="147D90BB" w14:textId="77777777" w:rsidR="00E723FD" w:rsidRPr="003F0C94" w:rsidRDefault="00E723FD" w:rsidP="002F207D">
      <w:pPr>
        <w:jc w:val="both"/>
        <w:rPr>
          <w:sz w:val="18"/>
          <w:szCs w:val="18"/>
        </w:rPr>
      </w:pPr>
    </w:p>
    <w:p w14:paraId="437671DC" w14:textId="3D786B74" w:rsidR="002F207D" w:rsidRPr="003F0C94" w:rsidRDefault="002F207D" w:rsidP="002F207D">
      <w:pPr>
        <w:jc w:val="both"/>
        <w:rPr>
          <w:sz w:val="18"/>
          <w:szCs w:val="18"/>
        </w:rPr>
      </w:pPr>
    </w:p>
    <w:p w14:paraId="4FBF11FD" w14:textId="7021F05F" w:rsidR="00E723FD" w:rsidRPr="003F0C94" w:rsidRDefault="00E723FD" w:rsidP="002F207D">
      <w:pPr>
        <w:jc w:val="both"/>
        <w:rPr>
          <w:sz w:val="18"/>
          <w:szCs w:val="18"/>
        </w:rPr>
      </w:pPr>
    </w:p>
    <w:p w14:paraId="610F6811" w14:textId="77777777" w:rsidR="00E723FD" w:rsidRPr="003F0C94" w:rsidRDefault="00E723FD" w:rsidP="002F207D">
      <w:pPr>
        <w:jc w:val="both"/>
        <w:rPr>
          <w:sz w:val="18"/>
          <w:szCs w:val="18"/>
        </w:rPr>
      </w:pPr>
    </w:p>
    <w:p w14:paraId="678B5CFF" w14:textId="4C51B011" w:rsidR="00B8257D" w:rsidRPr="00B25C3B" w:rsidRDefault="00B25C3B" w:rsidP="00604BFB">
      <w:pPr>
        <w:jc w:val="both"/>
        <w:rPr>
          <w:i/>
          <w:iCs/>
          <w:sz w:val="18"/>
          <w:szCs w:val="18"/>
        </w:rPr>
      </w:pPr>
      <w:r>
        <w:rPr>
          <w:i/>
          <w:sz w:val="18"/>
        </w:rPr>
        <w:t>Fotók készítője: Fronius International GmbH, ingyenesen sokszorosítható</w:t>
      </w:r>
    </w:p>
    <w:p w14:paraId="0C1181E0" w14:textId="77777777" w:rsidR="008C5190" w:rsidRPr="002F207D" w:rsidRDefault="008C5190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5D157E3" w14:textId="4DE4010E" w:rsidR="00EC6E68" w:rsidRPr="002F207D" w:rsidRDefault="0015484D" w:rsidP="00604BFB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Solar Energy Üzletág</w:t>
      </w:r>
    </w:p>
    <w:p w14:paraId="54765B3A" w14:textId="5F441CC0" w:rsidR="0015484D" w:rsidRDefault="0051114E" w:rsidP="00604BFB">
      <w:pPr>
        <w:jc w:val="both"/>
        <w:rPr>
          <w:sz w:val="20"/>
          <w:szCs w:val="20"/>
        </w:rPr>
      </w:pPr>
      <w:r>
        <w:rPr>
          <w:sz w:val="20"/>
        </w:rPr>
        <w:t>A Fronius Solar Energy Üzletága 1992 óta fejleszt napelemes megoldásokat és forgalmazza termékeit szakértő telepítői, szerviz- és értékesítési partnereinek világszintű hálózatán keresztül. Erről 26 napenergetikai leányvállalat, 89 százalék feletti exportarány és a már telepített inverterek több, mint 25 gigawattos összteljesítménye tanúskodik. Küldetése a 24 óra napsütés elérése. A Fronius napról napra keményen dolgozik azon, hogy megvalósítsa ezt a jövőképet, amelyben a világ energiaigényének 100%-át megújuló források fedezik. A Fronius ennek szem előtt tartásával fejleszt energetikai megoldásokat a napenergia gazdaságos és intelligens előállítására, tárolására, elosztására és felhasználására.</w:t>
      </w:r>
    </w:p>
    <w:p w14:paraId="5F3913DA" w14:textId="77777777" w:rsidR="001B4713" w:rsidRDefault="001B4713" w:rsidP="00604BFB">
      <w:pPr>
        <w:jc w:val="both"/>
        <w:rPr>
          <w:sz w:val="20"/>
          <w:szCs w:val="20"/>
        </w:rPr>
      </w:pPr>
    </w:p>
    <w:p w14:paraId="48B19F59" w14:textId="77777777" w:rsidR="0015484D" w:rsidRPr="002F207D" w:rsidRDefault="0015484D" w:rsidP="0015484D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A Fronius International GmbH vállalatról</w:t>
      </w:r>
    </w:p>
    <w:p w14:paraId="3B731321" w14:textId="530FE237" w:rsidR="0015484D" w:rsidRPr="002F207D" w:rsidRDefault="0015484D" w:rsidP="0015484D">
      <w:pPr>
        <w:jc w:val="both"/>
        <w:rPr>
          <w:sz w:val="20"/>
          <w:szCs w:val="20"/>
        </w:rPr>
      </w:pPr>
      <w:r>
        <w:rPr>
          <w:sz w:val="20"/>
        </w:rPr>
        <w:t>A Fronius International GmbH családi tulajdonban lévő osztrák vállalat, melynek székhelye Pettenbachban, további telephelyei pedig Welsben, Thalheimban, Steinhausban és Sattledtben találhatók. Az 1945-ös regionális egyéni vállalkozásként történő indulásától kezdve a Fronius a hegesztéstechnika, a napelemes rendszerek és az akkumulátortöltő rendszerek területén tevékenykedő globális szereplővé fejlődött, mely világszerte több mint 5 660 alkalmazottat foglalkoztat. 92 százalékos exportarányát 36 nemzetközi Fronius-vállalat, valamint a több mint 60 országban tevékenykedő értékesítési partnerei segítségével éri el. Innovatív termékeinek és szolgáltatásainak, valamint 1 321 aktív szabadalmának köszönhetően a Fronius a világ egyik vezető innovációs vállalata.</w:t>
      </w:r>
    </w:p>
    <w:p w14:paraId="66177D9A" w14:textId="2E3A5D74" w:rsidR="00EC6E68" w:rsidRPr="002F207D" w:rsidRDefault="00EC6E68" w:rsidP="00604BFB">
      <w:pPr>
        <w:jc w:val="both"/>
        <w:rPr>
          <w:sz w:val="20"/>
          <w:szCs w:val="20"/>
        </w:rPr>
      </w:pPr>
    </w:p>
    <w:p w14:paraId="3726E5F6" w14:textId="5D237A81" w:rsidR="00EC6E68" w:rsidRPr="002F207D" w:rsidRDefault="00EC6E68" w:rsidP="0051114E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Kapcsolattartási adatok további kérdések esetén</w:t>
      </w:r>
    </w:p>
    <w:p w14:paraId="23E98C38" w14:textId="1716EFA4" w:rsidR="008C5190" w:rsidRPr="0015484D" w:rsidRDefault="00455012" w:rsidP="0015484D">
      <w:pPr>
        <w:rPr>
          <w:sz w:val="20"/>
          <w:szCs w:val="20"/>
        </w:rPr>
      </w:pPr>
      <w:r>
        <w:rPr>
          <w:sz w:val="20"/>
        </w:rPr>
        <w:t>Fronius International GmbH, Andrea SCHARTNER,</w:t>
      </w:r>
      <w:r>
        <w:rPr>
          <w:sz w:val="20"/>
        </w:rPr>
        <w:br/>
        <w:t xml:space="preserve">+43 664 88536765, </w:t>
      </w:r>
      <w:hyperlink r:id="rId12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Ausztria</w:t>
      </w:r>
    </w:p>
    <w:p w14:paraId="4B31CDF2" w14:textId="77777777" w:rsidR="00E62622" w:rsidRPr="00E62622" w:rsidRDefault="00E62622" w:rsidP="00E62622">
      <w:pPr>
        <w:spacing w:before="40" w:after="40" w:line="240" w:lineRule="auto"/>
        <w:rPr>
          <w:sz w:val="20"/>
        </w:rPr>
      </w:pPr>
      <w:r w:rsidRPr="00E62622">
        <w:rPr>
          <w:sz w:val="20"/>
        </w:rPr>
        <w:lastRenderedPageBreak/>
        <w:t xml:space="preserve">Nicole FRIEDWAGNER, +43 664 88825931, </w:t>
      </w:r>
      <w:hyperlink r:id="rId13" w:history="1">
        <w:r w:rsidRPr="00E62622">
          <w:rPr>
            <w:rStyle w:val="Hyperlink"/>
            <w:sz w:val="20"/>
            <w:szCs w:val="20"/>
          </w:rPr>
          <w:t>friedwagner.nicole@fronius.com</w:t>
        </w:r>
      </w:hyperlink>
      <w:r w:rsidRPr="00E62622">
        <w:rPr>
          <w:sz w:val="20"/>
        </w:rPr>
        <w:t>, Froniusplatz 1, 4600 Wels, Ausztria</w:t>
      </w:r>
    </w:p>
    <w:p w14:paraId="795BA0B9" w14:textId="77777777" w:rsidR="00E62622" w:rsidRDefault="00E62622" w:rsidP="00C52F19">
      <w:pPr>
        <w:spacing w:before="40" w:after="40" w:line="240" w:lineRule="auto"/>
        <w:rPr>
          <w:color w:val="000000" w:themeColor="text1"/>
          <w:sz w:val="20"/>
          <w:u w:val="single"/>
        </w:rPr>
      </w:pPr>
    </w:p>
    <w:p w14:paraId="37577BCB" w14:textId="1E63E52D" w:rsidR="00455012" w:rsidRDefault="0015484D" w:rsidP="00C52F19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Mintapéldány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4" w:history="1">
        <w:r>
          <w:rPr>
            <w:rStyle w:val="Hyperlink"/>
            <w:sz w:val="20"/>
          </w:rPr>
          <w:t>rke@a1kommunikation.de</w:t>
        </w:r>
      </w:hyperlink>
    </w:p>
    <w:p w14:paraId="52B6AFE4" w14:textId="32763BF7" w:rsidR="0001297E" w:rsidRPr="00C52F19" w:rsidRDefault="0001297E" w:rsidP="00C52F19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Germany</w:t>
      </w:r>
    </w:p>
    <w:p w14:paraId="63641C8E" w14:textId="77777777" w:rsidR="00D322C7" w:rsidRDefault="00D322C7" w:rsidP="00604BFB">
      <w:pPr>
        <w:jc w:val="both"/>
        <w:rPr>
          <w:sz w:val="16"/>
          <w:szCs w:val="16"/>
        </w:rPr>
      </w:pPr>
    </w:p>
    <w:p w14:paraId="790215F6" w14:textId="27FF20BB" w:rsidR="00670F02" w:rsidRPr="00604BFB" w:rsidRDefault="00EC6E68" w:rsidP="00604BFB">
      <w:pPr>
        <w:jc w:val="both"/>
        <w:rPr>
          <w:sz w:val="16"/>
          <w:szCs w:val="16"/>
        </w:rPr>
      </w:pPr>
      <w:r>
        <w:rPr>
          <w:sz w:val="16"/>
        </w:rPr>
        <w:t xml:space="preserve">Ha a továbbiakban nem szeretné a Fronius International GmbH (Solar Energy Üzletág) sajtóközleményeit megkapni, küldje meg válaszként azt, hogy „UNSUBSCRIBE” (LEIRATKOZÁS) a </w:t>
      </w:r>
      <w:hyperlink r:id="rId15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 xml:space="preserve"> e-mail-címre.</w:t>
      </w:r>
    </w:p>
    <w:sectPr w:rsidR="00670F02" w:rsidRPr="00604BFB">
      <w:headerReference w:type="default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7D3C4" w14:textId="77777777" w:rsidR="00500DE2" w:rsidRDefault="00500DE2" w:rsidP="00B54547">
      <w:pPr>
        <w:spacing w:after="0" w:line="240" w:lineRule="auto"/>
      </w:pPr>
      <w:r>
        <w:separator/>
      </w:r>
    </w:p>
  </w:endnote>
  <w:endnote w:type="continuationSeparator" w:id="0">
    <w:p w14:paraId="016D43B4" w14:textId="77777777" w:rsidR="00500DE2" w:rsidRDefault="00500DE2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Információ besorolása: nyilvános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sz w:val="12"/>
                        <w:szCs w:val="12"/>
                        <w:rFonts w:cs="Noto Sans"/>
                      </w:rPr>
                    </w:pPr>
                    <w:r>
                      <w:rPr>
                        <w:sz w:val="12"/>
                      </w:rPr>
                      <w:t xml:space="preserve">Információ besorolása: nyilvános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3A87F" w14:textId="77777777" w:rsidR="00500DE2" w:rsidRDefault="00500DE2" w:rsidP="00B54547">
      <w:pPr>
        <w:spacing w:after="0" w:line="240" w:lineRule="auto"/>
      </w:pPr>
      <w:r>
        <w:separator/>
      </w:r>
    </w:p>
  </w:footnote>
  <w:footnote w:type="continuationSeparator" w:id="0">
    <w:p w14:paraId="6ADD097B" w14:textId="77777777" w:rsidR="00500DE2" w:rsidRDefault="00500DE2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194C"/>
    <w:rsid w:val="0001297E"/>
    <w:rsid w:val="000152FA"/>
    <w:rsid w:val="00030C3B"/>
    <w:rsid w:val="00056836"/>
    <w:rsid w:val="00064C19"/>
    <w:rsid w:val="00097F92"/>
    <w:rsid w:val="000F20D9"/>
    <w:rsid w:val="00102F0B"/>
    <w:rsid w:val="001221D1"/>
    <w:rsid w:val="0015484D"/>
    <w:rsid w:val="001668E3"/>
    <w:rsid w:val="001742A0"/>
    <w:rsid w:val="00182ABE"/>
    <w:rsid w:val="00196F99"/>
    <w:rsid w:val="001A34C4"/>
    <w:rsid w:val="001B4713"/>
    <w:rsid w:val="0024308B"/>
    <w:rsid w:val="00253496"/>
    <w:rsid w:val="00282219"/>
    <w:rsid w:val="00282F7B"/>
    <w:rsid w:val="002A39B1"/>
    <w:rsid w:val="002D0988"/>
    <w:rsid w:val="002D620C"/>
    <w:rsid w:val="002D7A44"/>
    <w:rsid w:val="002E4785"/>
    <w:rsid w:val="002F207D"/>
    <w:rsid w:val="003405C8"/>
    <w:rsid w:val="00361BAB"/>
    <w:rsid w:val="0036224A"/>
    <w:rsid w:val="003B4A45"/>
    <w:rsid w:val="003D4B8E"/>
    <w:rsid w:val="003E6855"/>
    <w:rsid w:val="003F0C94"/>
    <w:rsid w:val="00403C78"/>
    <w:rsid w:val="00410DAD"/>
    <w:rsid w:val="00424297"/>
    <w:rsid w:val="00435EB8"/>
    <w:rsid w:val="004420B7"/>
    <w:rsid w:val="00451F65"/>
    <w:rsid w:val="00455012"/>
    <w:rsid w:val="00470A9D"/>
    <w:rsid w:val="0049392F"/>
    <w:rsid w:val="00500DE2"/>
    <w:rsid w:val="0051114E"/>
    <w:rsid w:val="00512C4C"/>
    <w:rsid w:val="00535E04"/>
    <w:rsid w:val="00542018"/>
    <w:rsid w:val="00582BF5"/>
    <w:rsid w:val="005958B0"/>
    <w:rsid w:val="005A26BF"/>
    <w:rsid w:val="00604BFB"/>
    <w:rsid w:val="00606028"/>
    <w:rsid w:val="00670F02"/>
    <w:rsid w:val="006D2AEF"/>
    <w:rsid w:val="006D462C"/>
    <w:rsid w:val="006D6430"/>
    <w:rsid w:val="00703F47"/>
    <w:rsid w:val="00716778"/>
    <w:rsid w:val="00730C60"/>
    <w:rsid w:val="00755473"/>
    <w:rsid w:val="00765AC0"/>
    <w:rsid w:val="007A57E3"/>
    <w:rsid w:val="007C61B7"/>
    <w:rsid w:val="007D5607"/>
    <w:rsid w:val="007E3E5C"/>
    <w:rsid w:val="007F1F01"/>
    <w:rsid w:val="00816914"/>
    <w:rsid w:val="008243CF"/>
    <w:rsid w:val="00824AA5"/>
    <w:rsid w:val="00831633"/>
    <w:rsid w:val="008404EE"/>
    <w:rsid w:val="008860E2"/>
    <w:rsid w:val="008955A6"/>
    <w:rsid w:val="008C5190"/>
    <w:rsid w:val="008D384B"/>
    <w:rsid w:val="008E1774"/>
    <w:rsid w:val="008E264C"/>
    <w:rsid w:val="008F4ED5"/>
    <w:rsid w:val="00900C18"/>
    <w:rsid w:val="00906679"/>
    <w:rsid w:val="00944333"/>
    <w:rsid w:val="00960B04"/>
    <w:rsid w:val="00962B6D"/>
    <w:rsid w:val="00963BB4"/>
    <w:rsid w:val="00965015"/>
    <w:rsid w:val="009A0CD9"/>
    <w:rsid w:val="00A27D32"/>
    <w:rsid w:val="00A66F74"/>
    <w:rsid w:val="00A94A9B"/>
    <w:rsid w:val="00AB3B58"/>
    <w:rsid w:val="00AE7975"/>
    <w:rsid w:val="00B217F4"/>
    <w:rsid w:val="00B23B1E"/>
    <w:rsid w:val="00B25C3B"/>
    <w:rsid w:val="00B309A8"/>
    <w:rsid w:val="00B422E6"/>
    <w:rsid w:val="00B52F2E"/>
    <w:rsid w:val="00B54547"/>
    <w:rsid w:val="00B8257D"/>
    <w:rsid w:val="00BE27A5"/>
    <w:rsid w:val="00BE56CF"/>
    <w:rsid w:val="00C1074C"/>
    <w:rsid w:val="00C17BEE"/>
    <w:rsid w:val="00C35E5E"/>
    <w:rsid w:val="00C44B9C"/>
    <w:rsid w:val="00C52F19"/>
    <w:rsid w:val="00C921A2"/>
    <w:rsid w:val="00CB1448"/>
    <w:rsid w:val="00CC0612"/>
    <w:rsid w:val="00CC1139"/>
    <w:rsid w:val="00CD1E72"/>
    <w:rsid w:val="00D0522E"/>
    <w:rsid w:val="00D14FE0"/>
    <w:rsid w:val="00D322C7"/>
    <w:rsid w:val="00D4343E"/>
    <w:rsid w:val="00D54D23"/>
    <w:rsid w:val="00D77E57"/>
    <w:rsid w:val="00DE201A"/>
    <w:rsid w:val="00DF5290"/>
    <w:rsid w:val="00E2626F"/>
    <w:rsid w:val="00E62622"/>
    <w:rsid w:val="00E723FD"/>
    <w:rsid w:val="00E83DD7"/>
    <w:rsid w:val="00E9591C"/>
    <w:rsid w:val="00EA26EC"/>
    <w:rsid w:val="00EC6E68"/>
    <w:rsid w:val="00ED5549"/>
    <w:rsid w:val="00F12293"/>
    <w:rsid w:val="00F26BCD"/>
    <w:rsid w:val="00F47E87"/>
    <w:rsid w:val="00FD0EE7"/>
    <w:rsid w:val="00FD50E0"/>
    <w:rsid w:val="00FE3F42"/>
    <w:rsid w:val="00FE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1742A0"/>
    <w:rPr>
      <w:b/>
      <w:bCs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E27A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E27A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E27A5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E27A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E27A5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BE27A5"/>
    <w:pPr>
      <w:spacing w:after="0" w:line="240" w:lineRule="auto"/>
    </w:pPr>
    <w:rPr>
      <w:rFonts w:ascii="Noto Sans" w:hAnsi="Noto Sans"/>
    </w:rPr>
  </w:style>
  <w:style w:type="paragraph" w:styleId="StandardWeb">
    <w:name w:val="Normal (Web)"/>
    <w:basedOn w:val="Standard"/>
    <w:uiPriority w:val="99"/>
    <w:semiHidden/>
    <w:unhideWhenUsed/>
    <w:rsid w:val="00E26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styleId="Hervorhebung">
    <w:name w:val="Emphasis"/>
    <w:basedOn w:val="Absatz-Standardschriftart"/>
    <w:uiPriority w:val="20"/>
    <w:qFormat/>
    <w:rsid w:val="00E2626F"/>
    <w:rPr>
      <w:i/>
      <w:iCs/>
    </w:rPr>
  </w:style>
  <w:style w:type="paragraph" w:styleId="Zitat">
    <w:name w:val="Quote"/>
    <w:basedOn w:val="Standard"/>
    <w:next w:val="Standard"/>
    <w:link w:val="ZitatZchn"/>
    <w:uiPriority w:val="29"/>
    <w:qFormat/>
    <w:rsid w:val="00E2626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2626F"/>
    <w:rPr>
      <w:rFonts w:ascii="Noto Sans" w:hAnsi="Noto Sans"/>
      <w:i/>
      <w:iCs/>
      <w:color w:val="404040" w:themeColor="text1" w:themeTint="BF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68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68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friedwagner.nicole@fronius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ustomXml" Target="../customXml/item2.xml"/><Relationship Id="rId7" Type="http://schemas.openxmlformats.org/officeDocument/2006/relationships/hyperlink" Target="https://solar.htw-berlin.de/studien/speicher-inspektion-2022/" TargetMode="External"/><Relationship Id="rId12" Type="http://schemas.openxmlformats.org/officeDocument/2006/relationships/hyperlink" Target="mailto:schartner.andrea@fronius.com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customXml" Target="../customXml/item5.xml"/><Relationship Id="rId5" Type="http://schemas.openxmlformats.org/officeDocument/2006/relationships/footnotes" Target="footnotes.xml"/><Relationship Id="rId15" Type="http://schemas.openxmlformats.org/officeDocument/2006/relationships/hyperlink" Target="mailto:cancellation@fronius.com" TargetMode="External"/><Relationship Id="rId23" Type="http://schemas.openxmlformats.org/officeDocument/2006/relationships/customXml" Target="../customXml/item4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mailto:rke@a1kommunikation.de" TargetMode="External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Stromspeicherinspektion 2022/04</title_TI_DE>
    <title_TI_NO xmlns="dc0c2c3d-e9fc-4a0d-820b-87ab82e65f20">Energy storage solution 2022/04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Energy storage solution 2022/04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Energy storage solution 2022/04</title_TI_TH>
    <Licence_x0020_information xmlns="dc0c2c3d-e9fc-4a0d-820b-87ab82e65f20">(c) Fronius International</Licence_x0020_information>
    <title_TI_EA xmlns="dc0c2c3d-e9fc-4a0d-820b-87ab82e65f20">Energy storage solution 2022/04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#HU</TermName>
          <TermId xmlns="http://schemas.microsoft.com/office/infopath/2007/PartnerControls">16005b7f-bc42-455a-bcc7-5a5b7ef1f297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Energy storage solution 2022/04</title_TI_DA>
    <Documenttype_TR xmlns="dc0c2c3d-e9fc-4a0d-820b-87ab82e65f20">Basın bülteni</Documenttype_TR>
    <title_TI_PL xmlns="dc0c2c3d-e9fc-4a0d-820b-87ab82e65f20">Energy storage solution 2022/04</title_TI_PL>
    <Documenttype_TH xmlns="dc0c2c3d-e9fc-4a0d-820b-87ab82e65f20">ข่าวประชาสัมพันธ์</Documenttype_TH>
    <title_TI_EL xmlns="dc0c2c3d-e9fc-4a0d-820b-87ab82e65f20">Energy storage solution 2022/04</title_TI_EL>
    <Documenttype_EA xmlns="dc0c2c3d-e9fc-4a0d-820b-87ab82e65f20">Press Release</Documenttype_EA>
    <Web_x0020_Display_x0020_Title_x0020_ET xmlns="dc0c2c3d-e9fc-4a0d-820b-87ab82e65f20">Energy storage solution 2022/04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Energy storage solution 2022/04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Energy storage solution 2022/04</title_TI_SV>
    <Documenttype_PL xmlns="dc0c2c3d-e9fc-4a0d-820b-87ab82e65f20">Informacja prasowe</Documenttype_PL>
    <VersionInternal xmlns="dc0c2c3d-e9fc-4a0d-820b-87ab82e65f20">1</VersionInternal>
    <Update xmlns="dc0c2c3d-e9fc-4a0d-820b-87ab82e65f20" xsi:nil="true"/>
    <FSM xmlns="dc0c2c3d-e9fc-4a0d-820b-87ab82e65f20">No</FSM>
    <FileMaster xmlns="dc0c2c3d-e9fc-4a0d-820b-87ab82e65f20" xsi:nil="true"/>
    <title_TI_NL xmlns="dc0c2c3d-e9fc-4a0d-820b-87ab82e65f20">Energy storage solution 2022/04</title_TI_NL>
    <contentservId xmlns="c4543867-fb67-4424-a255-4d54d75e50e3">C-138955</contentservId>
    <title_TI_IT xmlns="dc0c2c3d-e9fc-4a0d-820b-87ab82e65f20">Energy storage solution 2022/04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Energy storage solution 2022/04</title_TI_UA>
    <title_TI_JP xmlns="dc0c2c3d-e9fc-4a0d-820b-87ab82e65f20">Energy storage solution 2022/04</title_TI_JP>
    <Documenttype_NL xmlns="dc0c2c3d-e9fc-4a0d-820b-87ab82e65f20">Persbericht</Documenttype_NL>
    <title_TI_RO xmlns="dc0c2c3d-e9fc-4a0d-820b-87ab82e65f20">Energy storage solution 2022/04</title_TI_RO>
    <Documenttype_NB xmlns="c4543867-fb67-4424-a255-4d54d75e50e3">Presseinformasjon</Documenttype_NB>
    <title_ti_nb xmlns="dc0c2c3d-e9fc-4a0d-820b-87ab82e65f20" xsi:nil="true"/>
    <title_TI_ES xmlns="dc0c2c3d-e9fc-4a0d-820b-87ab82e65f20">Energy storage solution 2022/04</title_TI_ES>
    <title_TI_JA xmlns="dc0c2c3d-e9fc-4a0d-820b-87ab82e65f20">Energy storage solution 2022/04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255</Value>
    </TaxCatchAll>
    <AGB xmlns="dc0c2c3d-e9fc-4a0d-820b-87ab82e65f20">false</AGB>
    <title_TI_EN xmlns="dc0c2c3d-e9fc-4a0d-820b-87ab82e65f20">Energy storage solution 2022/04</title_TI_EN>
    <MRMKeyWords xmlns="dc0c2c3d-e9fc-4a0d-820b-87ab82e65f20">#Presse#Presseaussendung#Strom#GEN24#GEN24 Plus#press#press release#current#presse#presseaussendung#pressrelease#strom#gen24#gen24plus#</MRMKeyWords>
    <title_ti_zh xmlns="dc0c2c3d-e9fc-4a0d-820b-87ab82e65f20">Energy storage solution 2022/04</title_ti_zh>
    <MRMID xmlns="dc0c2c3d-e9fc-4a0d-820b-87ab82e65f20">M-182577</MRMID>
    <Documenttype_UK xmlns="c4543867-fb67-4424-a255-4d54d75e50e3">Прес-релізи</Documenttype_UK>
    <title_TI_SK xmlns="dc0c2c3d-e9fc-4a0d-820b-87ab82e65f20">Energy storage solution 2022/04</title_TI_SK>
    <Documenttype_UA xmlns="dc0c2c3d-e9fc-4a0d-820b-87ab82e65f20">Прес-релізи</Documenttype_UA>
    <title_TI_HU xmlns="dc0c2c3d-e9fc-4a0d-820b-87ab82e65f20">Energy storage solution 2022/04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Energy storage solution 2022/04</title_TI_PT>
    <title_ti_fi xmlns="dc0c2c3d-e9fc-4a0d-820b-87ab82e65f20">Energy storage solution 2022/04</title_ti_fi>
    <Country xmlns="dc0c2c3d-e9fc-4a0d-820b-87ab82e65f20">
      <Value>54</Value>
      <Value>55</Value>
      <Value>56</Value>
      <Value>57</Value>
      <Value>58</Value>
      <Value>59</Value>
      <Value>60</Value>
      <Value>61</Value>
      <Value>62</Value>
      <Value>63</Value>
      <Value>64</Value>
      <Value>65</Value>
      <Value>66</Value>
      <Value>6</Value>
      <Value>5</Value>
      <Value>67</Value>
      <Value>68</Value>
      <Value>69</Value>
      <Value>70</Value>
      <Value>71</Value>
      <Value>72</Value>
      <Value>7</Value>
      <Value>73</Value>
      <Value>74</Value>
      <Value>75</Value>
      <Value>76</Value>
      <Value>77</Value>
      <Value>78</Value>
      <Value>79</Value>
      <Value>80</Value>
      <Value>81</Value>
      <Value>8</Value>
      <Value>82</Value>
      <Value>83</Value>
      <Value>9</Value>
      <Value>84</Value>
      <Value>85</Value>
      <Value>86</Value>
      <Value>87</Value>
      <Value>10</Value>
      <Value>88</Value>
      <Value>89</Value>
      <Value>90</Value>
      <Value>91</Value>
      <Value>92</Value>
      <Value>93</Value>
      <Value>94</Value>
      <Value>11</Value>
      <Value>95</Value>
      <Value>96</Value>
      <Value>97</Value>
      <Value>98</Value>
      <Value>99</Value>
      <Value>100</Value>
      <Value>101</Value>
      <Value>102</Value>
      <Value>12</Value>
      <Value>103</Value>
      <Value>104</Value>
      <Value>105</Value>
      <Value>13</Value>
      <Value>15</Value>
      <Value>106</Value>
      <Value>107</Value>
      <Value>108</Value>
      <Value>109</Value>
      <Value>110</Value>
      <Value>111</Value>
      <Value>112</Value>
      <Value>113</Value>
      <Value>51</Value>
      <Value>114</Value>
      <Value>115</Value>
      <Value>116</Value>
      <Value>117</Value>
      <Value>16</Value>
      <Value>17</Value>
      <Value>118</Value>
      <Value>119</Value>
      <Value>120</Value>
      <Value>121</Value>
      <Value>122</Value>
      <Value>18</Value>
      <Value>123</Value>
      <Value>124</Value>
      <Value>19</Value>
      <Value>125</Value>
      <Value>126</Value>
      <Value>127</Value>
      <Value>128</Value>
      <Value>129</Value>
      <Value>130</Value>
      <Value>131</Value>
      <Value>132</Value>
      <Value>133</Value>
      <Value>134</Value>
      <Value>135</Value>
      <Value>136</Value>
      <Value>137</Value>
      <Value>20</Value>
      <Value>138</Value>
      <Value>21</Value>
      <Value>139</Value>
      <Value>140</Value>
      <Value>141</Value>
      <Value>23</Value>
      <Value>142</Value>
      <Value>24</Value>
      <Value>22</Value>
      <Value>143</Value>
      <Value>144</Value>
      <Value>25</Value>
      <Value>145</Value>
      <Value>146</Value>
      <Value>147</Value>
      <Value>148</Value>
      <Value>149</Value>
      <Value>150</Value>
      <Value>151</Value>
      <Value>152</Value>
      <Value>153</Value>
      <Value>154</Value>
      <Value>155</Value>
      <Value>156</Value>
      <Value>157</Value>
      <Value>158</Value>
      <Value>27</Value>
      <Value>159</Value>
      <Value>160</Value>
      <Value>161</Value>
      <Value>162</Value>
      <Value>163</Value>
      <Value>164</Value>
      <Value>166</Value>
      <Value>167</Value>
      <Value>168</Value>
      <Value>169</Value>
      <Value>170</Value>
      <Value>171</Value>
      <Value>172</Value>
      <Value>173</Value>
      <Value>174</Value>
      <Value>175</Value>
      <Value>176</Value>
      <Value>177</Value>
      <Value>178</Value>
      <Value>179</Value>
      <Value>180</Value>
      <Value>181</Value>
      <Value>182</Value>
      <Value>183</Value>
      <Value>184</Value>
      <Value>185</Value>
      <Value>29</Value>
      <Value>50</Value>
      <Value>186</Value>
      <Value>187</Value>
      <Value>188</Value>
      <Value>189</Value>
      <Value>190</Value>
      <Value>191</Value>
      <Value>192</Value>
      <Value>30</Value>
      <Value>195</Value>
      <Value>196</Value>
      <Value>47</Value>
      <Value>197</Value>
      <Value>198</Value>
      <Value>199</Value>
      <Value>200</Value>
      <Value>201</Value>
      <Value>202</Value>
      <Value>203</Value>
      <Value>204</Value>
      <Value>205</Value>
      <Value>31</Value>
      <Value>32</Value>
      <Value>206</Value>
      <Value>207</Value>
      <Value>208</Value>
      <Value>33</Value>
      <Value>34</Value>
      <Value>209</Value>
      <Value>210</Value>
      <Value>211</Value>
      <Value>212</Value>
      <Value>213</Value>
      <Value>214</Value>
      <Value>215</Value>
      <Value>216</Value>
      <Value>217</Value>
      <Value>218</Value>
      <Value>219</Value>
      <Value>35</Value>
      <Value>220</Value>
      <Value>221</Value>
      <Value>222</Value>
      <Value>36</Value>
      <Value>37</Value>
      <Value>223</Value>
      <Value>224</Value>
      <Value>53</Value>
      <Value>225</Value>
      <Value>26</Value>
      <Value>38</Value>
      <Value>226</Value>
      <Value>227</Value>
      <Value>228</Value>
      <Value>229</Value>
      <Value>230</Value>
      <Value>231</Value>
      <Value>232</Value>
      <Value>39</Value>
      <Value>40</Value>
      <Value>233</Value>
      <Value>234</Value>
      <Value>235</Value>
      <Value>236</Value>
      <Value>237</Value>
      <Value>41</Value>
      <Value>238</Value>
      <Value>239</Value>
      <Value>240</Value>
      <Value>241</Value>
      <Value>242</Value>
      <Value>243</Value>
      <Value>42</Value>
      <Value>244</Value>
      <Value>245</Value>
      <Value>246</Value>
      <Value>247</Value>
      <Value>43</Value>
      <Value>248</Value>
      <Value>44</Value>
      <Value>249</Value>
      <Value>250</Value>
      <Value>251</Value>
      <Value>252</Value>
      <Value>253</Value>
      <Value>254</Value>
      <Value>255</Value>
      <Value>256</Value>
      <Value>257</Value>
      <Value>258</Value>
      <Value>259</Value>
      <Value>260</Value>
    </Country>
    <fro_spid xmlns="dc0c2c3d-e9fc-4a0d-820b-87ab82e65f20">8664;SE</fro_spid>
    <title_TI_RU xmlns="dc0c2c3d-e9fc-4a0d-820b-87ab82e65f20">Energy storage solution 2022/04</title_TI_RU>
    <Documenttype_JA xmlns="dc0c2c3d-e9fc-4a0d-820b-87ab82e65f20">ニュースリリース</Documenttype_JA>
    <Colour_x0020_space xmlns="dc0c2c3d-e9fc-4a0d-820b-87ab82e65f20" xsi:nil="true"/>
    <title_TI_CS xmlns="dc0c2c3d-e9fc-4a0d-820b-87ab82e65f20">Energy storage solution 2022/04</title_TI_CS>
    <title_TI_AR xmlns="dc0c2c3d-e9fc-4a0d-820b-87ab82e65f20">Energy storage solution 2022/04</title_TI_AR>
  </documentManagement>
</p:properties>
</file>

<file path=customXml/itemProps1.xml><?xml version="1.0" encoding="utf-8"?>
<ds:datastoreItem xmlns:ds="http://schemas.openxmlformats.org/officeDocument/2006/customXml" ds:itemID="{0EE0CA04-B618-410C-A784-A9287C8D66D2}"/>
</file>

<file path=customXml/itemProps2.xml><?xml version="1.0" encoding="utf-8"?>
<ds:datastoreItem xmlns:ds="http://schemas.openxmlformats.org/officeDocument/2006/customXml" ds:itemID="{0504E3BA-38C2-41C3-A166-7BB68B9597B4}"/>
</file>

<file path=customXml/itemProps3.xml><?xml version="1.0" encoding="utf-8"?>
<ds:datastoreItem xmlns:ds="http://schemas.openxmlformats.org/officeDocument/2006/customXml" ds:itemID="{253A2BFE-2CCB-41F8-9C10-B06F523B6D24}"/>
</file>

<file path=customXml/itemProps4.xml><?xml version="1.0" encoding="utf-8"?>
<ds:datastoreItem xmlns:ds="http://schemas.openxmlformats.org/officeDocument/2006/customXml" ds:itemID="{0166AB12-AB37-416A-9254-FCBBF38FFF88}"/>
</file>

<file path=customXml/itemProps5.xml><?xml version="1.0" encoding="utf-8"?>
<ds:datastoreItem xmlns:ds="http://schemas.openxmlformats.org/officeDocument/2006/customXml" ds:itemID="{13AF0B80-CD51-477E-935B-ABA7894152F5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913</Words>
  <Characters>5756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SE_PR_Energy_storage_inspection_HU</dc:title>
  <dc:subject/>
  <dc:creator>Kneringer Daniel</dc:creator>
  <cp:keywords/>
  <dc:description/>
  <cp:lastModifiedBy>Majetic Kristina</cp:lastModifiedBy>
  <cp:revision>4</cp:revision>
  <cp:lastPrinted>2022-03-23T08:51:00Z</cp:lastPrinted>
  <dcterms:created xsi:type="dcterms:W3CDTF">2022-04-20T09:35:00Z</dcterms:created>
  <dcterms:modified xsi:type="dcterms:W3CDTF">2022-04-25T05:22:00Z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255;##HU|16005b7f-bc42-455a-bcc7-5a5b7ef1f297</vt:lpwstr>
  </property>
  <property fmtid="{D5CDD505-2E9C-101B-9397-08002B2CF9AE}" pid="11" name="FroConDoc_language">
    <vt:lpwstr>1;#DE|676160ea-61f7-4cef-8b4c-1724dec2206e</vt:lpwstr>
  </property>
</Properties>
</file>