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lastRenderedPageBreak/>
        <w:t>COMUNICAT DE PRESĂ</w:t>
      </w:r>
    </w:p>
    <w:p w14:paraId="797AF3E2" w14:textId="77777777" w:rsidR="00A206DD" w:rsidRPr="00C673F7" w:rsidRDefault="00A206DD" w:rsidP="003F6E14">
      <w:pPr>
        <w:rPr>
          <w:rFonts w:cs="Arial"/>
          <w:szCs w:val="20"/>
          <w:lang w:val="en-US"/>
        </w:rPr>
      </w:pPr>
    </w:p>
    <w:p w14:paraId="7CEB1497" w14:textId="77777777" w:rsidR="003F6E14" w:rsidRPr="00C673F7" w:rsidRDefault="003F6E14" w:rsidP="003F6E14">
      <w:pPr>
        <w:pStyle w:val="Titel"/>
        <w:pBdr>
          <w:bottom w:val="none" w:sz="0" w:space="0" w:color="auto"/>
        </w:pBdr>
        <w:spacing w:after="0"/>
        <w:rPr>
          <w:rFonts w:ascii="Arial" w:hAnsi="Arial"/>
          <w:b/>
          <w:color w:val="000000"/>
          <w:sz w:val="28"/>
          <w:lang w:val="en-US"/>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Duet perfect pentru eficienţă crescută</w:t>
      </w:r>
    </w:p>
    <w:p w14:paraId="50DB2F93" w14:textId="77777777" w:rsidR="00AE2683" w:rsidRDefault="00742B19" w:rsidP="003F6E14">
      <w:pPr>
        <w:rPr>
          <w:rFonts w:cs="Arial"/>
          <w:b/>
          <w:szCs w:val="20"/>
        </w:rPr>
      </w:pPr>
      <w:r>
        <w:rPr>
          <w:b/>
          <w:szCs w:val="20"/>
        </w:rPr>
        <w:t>Sudare tandem TPS/i TWIN Push de la Fronius</w:t>
      </w:r>
    </w:p>
    <w:p w14:paraId="03BCE8C8" w14:textId="77777777" w:rsidR="00742B19" w:rsidRPr="00C673F7" w:rsidRDefault="00742B19" w:rsidP="003F6E14">
      <w:pPr>
        <w:rPr>
          <w:rFonts w:cs="Arial"/>
          <w:b/>
          <w:szCs w:val="20"/>
          <w:lang w:val="en-US"/>
        </w:rPr>
      </w:pPr>
    </w:p>
    <w:p w14:paraId="013AF3FC" w14:textId="77777777" w:rsidR="00AE2683" w:rsidRPr="00C673F7" w:rsidRDefault="00AE2683" w:rsidP="003F6E14">
      <w:pPr>
        <w:rPr>
          <w:rFonts w:cs="Arial"/>
          <w:b/>
          <w:szCs w:val="20"/>
          <w:lang w:val="en-US"/>
        </w:rPr>
      </w:pPr>
    </w:p>
    <w:p w14:paraId="4DAECE48" w14:textId="3A678E22" w:rsidR="00283F56" w:rsidRDefault="00283F56" w:rsidP="003F6E14">
      <w:pPr>
        <w:rPr>
          <w:rFonts w:cs="Arial"/>
          <w:b/>
          <w:szCs w:val="20"/>
        </w:rPr>
      </w:pPr>
      <w:r>
        <w:rPr>
          <w:b/>
          <w:szCs w:val="20"/>
        </w:rPr>
        <w:t>Acum Fronius oferă procedeul său de sudare tandem inclusiv pe platforma de sudare TPS/i. Sistemul de sudare cu productivitate ridicată TPS/i TWIN Push nu este doar mai compact, mai uşor de comandat şi mai interconectabil, ci reprezintă şi o evoluţie a procedeului de sudare. Pentru utilizator acest lucru înseamnă rate de depunere mai mari, viteze de sudare mai ridicate şi o eficienţă sporită în producţie datorită unui efort mai redus de pregătire a lucrărilor şi retuşare a defectelor.</w:t>
      </w:r>
    </w:p>
    <w:p w14:paraId="347BFB53" w14:textId="77777777" w:rsidR="00AE2683" w:rsidRPr="00C673F7" w:rsidRDefault="00AE2683" w:rsidP="003F6E14">
      <w:pPr>
        <w:rPr>
          <w:rFonts w:eastAsia="Times New Roman" w:cs="Arial"/>
          <w:b/>
          <w:szCs w:val="20"/>
        </w:rPr>
      </w:pPr>
    </w:p>
    <w:p w14:paraId="136569EF" w14:textId="389E506A" w:rsidR="005F13D7" w:rsidRDefault="006054EA" w:rsidP="005F13D7">
      <w:pPr>
        <w:rPr>
          <w:rFonts w:cs="Arial"/>
          <w:szCs w:val="20"/>
        </w:rPr>
      </w:pPr>
      <w:r>
        <w:t>Sudarea cu productivitate ridicată se distinge printr-o rată de depunere mare, care permite un volum ridicat de cusături sau viteze de sudare ridicate. Acest lucru este relevant mai ales la îmbinarea pieselor voluminoase sau la cusăturile sudate lungi pentru utilaje de construcţie, vehicule utilitare, dar şi componente auto şi în construcţii navale. Performanţa mare a procesorului TPS/i îmbunătăţeşte procedeul tandem sincronizat TWIN Push: Procedeul este încă şi mai stabil şi mai fiabil, iar capacitatea ridicată de umplere a rosturilor economiseşte utilizatorului timpul pentru pregătirea componentelor. Inclusiv lucrările ulterioare de retuşare pot fi reduse, pentru că reglarea precisă a procedeului de sudare permite o desprindere controlată a picăturilor şi o energie liniară mică în componentă, garantând astfel rezultate cu stropi puţini şi deformare minimă.</w:t>
      </w:r>
    </w:p>
    <w:p w14:paraId="349DB3F1" w14:textId="77777777" w:rsidR="00D72E53" w:rsidRPr="00C673F7" w:rsidRDefault="00D72E53" w:rsidP="008F345C">
      <w:pPr>
        <w:rPr>
          <w:rFonts w:cs="Arial"/>
          <w:szCs w:val="20"/>
        </w:rPr>
      </w:pPr>
    </w:p>
    <w:p w14:paraId="0A2DFC88" w14:textId="10ACBC8F" w:rsidR="00262FAC" w:rsidRDefault="00ED52BC" w:rsidP="008F345C">
      <w:pPr>
        <w:rPr>
          <w:rFonts w:cs="Arial"/>
          <w:szCs w:val="20"/>
        </w:rPr>
      </w:pPr>
      <w:r>
        <w:t>Cu TPS/i TWIN Push Fronius oferă noi variante de proces şi reglare: PMC (Pulse Multi Control) TWIN se distinge printr-un arc electric în impulsuri scurt, focusat şi garantează astfel o pătrundere îmbunătăţită şi o viteză de sudare ridicată. Opţiunea PulseSync permite utilizatorului să aleagă viteze de avansare foarte diferite între ele pentru cele două sârme pentru sudare. În acest fel, utilizatorul are mai mult spaţiu de manevră pentru adaptarea ideală a parametrilor de sudare la componenta sa şi pentru obţinerea de viteze de sudare mai mari. Sursa de curent corectează automat toţi parametrii de sudare relevanţi, cum sunt proprietăţile de amorsare, momentul desprinderii picăturilor şi raportul de pulsare. În plus noi mecanisme de reglare sunt gândite să asiste sudorul: Funcţia de stabilizare a lungimii arcului electric şi funcţia de stabilizare a adâncimii de pătrunderea măresc stabilitatea procesului şi uşurează parametrizarea. Atunci când poziţia interfeţei variază, de exemplu din cauza deformării componentei sau a tensionării imprecise, ajută funcţia de căutare automată a cusăturii: În timpul sudării, sistemul de sudare transmite robotului un semnal de căutare a cusăturii, pentru ca robotul să efectueze corecţia, dacă este necesar.</w:t>
      </w:r>
    </w:p>
    <w:p w14:paraId="76F2206F" w14:textId="77777777" w:rsidR="00262FAC" w:rsidRPr="00C673F7"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Sistem rafinat – durată mare de viaţă</w:t>
      </w:r>
    </w:p>
    <w:p w14:paraId="3980F7F6" w14:textId="77777777" w:rsidR="004F2F46" w:rsidRDefault="004F2F46" w:rsidP="004F2F46">
      <w:pPr>
        <w:rPr>
          <w:rFonts w:cs="Arial"/>
          <w:szCs w:val="20"/>
          <w:lang w:val="de-DE"/>
        </w:rPr>
      </w:pPr>
    </w:p>
    <w:p w14:paraId="23B55A02" w14:textId="7B26340E" w:rsidR="008F345C" w:rsidRDefault="004F2F46" w:rsidP="003F6E14">
      <w:pPr>
        <w:rPr>
          <w:rFonts w:cs="Arial"/>
          <w:szCs w:val="20"/>
        </w:rPr>
      </w:pPr>
      <w:r>
        <w:t xml:space="preserve">Procedeul TWIN se bazează pe sudarea tandem, care presupune faptul că două sârme pentru sudare sunt transportate către un pistolet de sudare cu duză de gaz comună, rămânând însă izolate electric una faţă de cealaltă. În acest fel arcurile electrice se pot regla individual, se pot </w:t>
      </w:r>
      <w:r>
        <w:lastRenderedPageBreak/>
        <w:t>sincroniza exact şi adapta reciproc – inclusiv în condiţii de putere diferită. Pe lângă două surse de curent TPS/i, sistemul TWIN Push are nevoie de un controler TWIN. Acest sincronizează procedeul de sudare şi îndeplineşte funcţia de interfaţă, compatibilă cu toate mărcile de robot. Dispozitivul compact de avans sârmă, răcirea, pachetul de furtunuri şi pistoletul de sudare TWIN completează sistemul de sudare.</w:t>
      </w:r>
    </w:p>
    <w:p w14:paraId="7F4AB6B2" w14:textId="77777777" w:rsidR="008F345C" w:rsidRPr="00C673F7" w:rsidRDefault="008F345C" w:rsidP="003F6E14">
      <w:pPr>
        <w:rPr>
          <w:rFonts w:cs="Arial"/>
          <w:szCs w:val="20"/>
          <w:lang w:val="en-US"/>
        </w:rPr>
      </w:pPr>
    </w:p>
    <w:p w14:paraId="704FBECD" w14:textId="3EAC2726" w:rsidR="002B21C3" w:rsidRPr="00CB251A" w:rsidRDefault="0068168E" w:rsidP="0068168E">
      <w:pPr>
        <w:rPr>
          <w:rFonts w:cs="Arial"/>
          <w:szCs w:val="20"/>
        </w:rPr>
      </w:pPr>
      <w:r>
        <w:t>Răcirea îmbunătăţită a pistoletului de sudare permite o durată de viaţă mai lungă pentru consumabile. În plus Fronius a conceput Robacta TSS/i TorchServiceStation: Sistemul de curăţare a pistoletului de sudare îmbină diverse metode de curăţare, cum ar fi curăţarea cu înaltă presiune, curăţarea cu peria şi curăţarea magnetică, dar şi curăţarea cu ajutorul frezei. Dispozitivul profesional de curăţare a pistoletului reduce costurile totale, datorită unei durate de viaţă mai mari a consumabilelor.</w:t>
      </w:r>
    </w:p>
    <w:p w14:paraId="3E57AD4B" w14:textId="77777777" w:rsidR="00F13681" w:rsidRPr="00C673F7" w:rsidRDefault="00F13681" w:rsidP="003F6E14">
      <w:pPr>
        <w:rPr>
          <w:rFonts w:cs="Arial"/>
          <w:szCs w:val="20"/>
          <w:lang w:val="en-US"/>
        </w:rPr>
      </w:pPr>
    </w:p>
    <w:p w14:paraId="75A3B335" w14:textId="4B6AB510" w:rsidR="00FD1C8A" w:rsidRDefault="001F2E3B" w:rsidP="003F6E14">
      <w:pPr>
        <w:rPr>
          <w:rFonts w:cs="Arial"/>
          <w:szCs w:val="20"/>
        </w:rPr>
      </w:pPr>
      <w:r>
        <w:t>Eficienţa sistemului de sudare poate fi sporită de asemenea prin utilizarea staţiei de schimbare a pistoletelor de sudare TX TWIN: Consola permite schimbarea automată între corpurile de pistolet TWIN şi Single. În acest fel acelaşi sistem poate suda locuri deosebit de greu accesibile cu corpul de pistolet single mai compact. Robotul schimbă automat corpul pistoletului – acest lucru face posibile turele „fantomă”.</w:t>
      </w:r>
    </w:p>
    <w:p w14:paraId="449FE299" w14:textId="77777777" w:rsidR="005B0718" w:rsidRPr="00C673F7" w:rsidRDefault="005B0718" w:rsidP="003F6E14">
      <w:pPr>
        <w:rPr>
          <w:rFonts w:cs="Arial"/>
          <w:color w:val="FF0000"/>
          <w:szCs w:val="20"/>
          <w:lang w:val="en-US"/>
        </w:rPr>
      </w:pPr>
    </w:p>
    <w:p w14:paraId="44C4E4F1" w14:textId="77777777" w:rsidR="002A1356" w:rsidRPr="00C673F7" w:rsidRDefault="002A1356" w:rsidP="003F6E14">
      <w:pPr>
        <w:rPr>
          <w:rFonts w:cs="Arial"/>
          <w:szCs w:val="20"/>
          <w:lang w:val="en-US"/>
        </w:rPr>
      </w:pPr>
    </w:p>
    <w:p w14:paraId="508FD7D4" w14:textId="3F1C78B8" w:rsidR="00ED4FC0" w:rsidRPr="00AE2683" w:rsidRDefault="00C673F7" w:rsidP="003F6E14">
      <w:pPr>
        <w:rPr>
          <w:rFonts w:cs="Arial"/>
          <w:i/>
          <w:szCs w:val="20"/>
        </w:rPr>
      </w:pPr>
      <w:r>
        <w:rPr>
          <w:i/>
          <w:szCs w:val="20"/>
        </w:rPr>
        <w:t>4.339</w:t>
      </w:r>
      <w:r w:rsidR="00E24368">
        <w:rPr>
          <w:i/>
          <w:szCs w:val="20"/>
        </w:rPr>
        <w:t xml:space="preserve"> caractere incl. spaţii</w:t>
      </w:r>
    </w:p>
    <w:p w14:paraId="3957B788" w14:textId="77777777" w:rsidR="00505D71" w:rsidRPr="00C673F7" w:rsidRDefault="00505D71" w:rsidP="003F6E14">
      <w:pPr>
        <w:rPr>
          <w:rFonts w:cs="Arial"/>
          <w:b/>
          <w:szCs w:val="20"/>
          <w:lang w:val="en-US"/>
        </w:rPr>
      </w:pPr>
    </w:p>
    <w:p w14:paraId="6614926E" w14:textId="77777777" w:rsidR="00A64948" w:rsidRPr="00C673F7" w:rsidRDefault="00A64948" w:rsidP="003F6E14">
      <w:pPr>
        <w:rPr>
          <w:rFonts w:cs="Arial"/>
          <w:b/>
          <w:szCs w:val="20"/>
          <w:lang w:val="en-US"/>
        </w:rPr>
      </w:pPr>
    </w:p>
    <w:p w14:paraId="3E427A40" w14:textId="77777777" w:rsidR="00A64948" w:rsidRPr="00DD3CF2" w:rsidRDefault="00A64948" w:rsidP="00A64948">
      <w:pPr>
        <w:rPr>
          <w:b/>
        </w:rPr>
      </w:pPr>
      <w:r>
        <w:rPr>
          <w:b/>
        </w:rPr>
        <w:t>[Titlu navigare: site web]</w:t>
      </w:r>
    </w:p>
    <w:p w14:paraId="1758BF7F" w14:textId="77777777" w:rsidR="00A64948" w:rsidRPr="0095114F" w:rsidRDefault="002F6645" w:rsidP="00A64948">
      <w:r>
        <w:t>TPS/i TWIN Push - Sudare tandem</w:t>
      </w:r>
    </w:p>
    <w:p w14:paraId="42B7213C" w14:textId="77777777" w:rsidR="002F6645" w:rsidRPr="0095114F" w:rsidRDefault="002F6645" w:rsidP="00A64948"/>
    <w:p w14:paraId="0682DA2F" w14:textId="77777777" w:rsidR="00A64948" w:rsidRPr="00DD3CF2" w:rsidRDefault="00A64948" w:rsidP="00A64948">
      <w:pPr>
        <w:rPr>
          <w:b/>
        </w:rPr>
      </w:pPr>
      <w:r>
        <w:rPr>
          <w:b/>
        </w:rPr>
        <w:t>[Display Name: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[Meta-titlu]</w:t>
      </w:r>
    </w:p>
    <w:p w14:paraId="2D0FBE14" w14:textId="77777777" w:rsidR="002F6645" w:rsidRPr="002F6645" w:rsidRDefault="002F6645" w:rsidP="002F6645">
      <w:pPr>
        <w:rPr>
          <w:rFonts w:cs="Arial"/>
          <w:szCs w:val="20"/>
        </w:rPr>
      </w:pPr>
      <w:r>
        <w:t>Sudare tandem TPS/i TWIN Push de la Fronius pentru eficienţă crescută</w:t>
      </w:r>
    </w:p>
    <w:p w14:paraId="4FFBDAFC" w14:textId="77777777" w:rsidR="002F6645" w:rsidRPr="00C673F7" w:rsidRDefault="002F6645" w:rsidP="00A64948">
      <w:pPr>
        <w:rPr>
          <w:lang w:val="en-US"/>
        </w:rPr>
      </w:pPr>
    </w:p>
    <w:p w14:paraId="0C0CC799" w14:textId="2FFEDF6A" w:rsidR="00A64948" w:rsidRPr="00DD3CF2" w:rsidRDefault="00A64948" w:rsidP="00A64948">
      <w:pPr>
        <w:rPr>
          <w:b/>
        </w:rPr>
      </w:pPr>
      <w:r>
        <w:rPr>
          <w:b/>
        </w:rPr>
        <w:t>[Meta-descriere]</w:t>
      </w:r>
    </w:p>
    <w:p w14:paraId="6151E816" w14:textId="57B10213" w:rsidR="002F6645" w:rsidRPr="002F6645" w:rsidRDefault="002357F0" w:rsidP="002F6645">
      <w:pPr>
        <w:rPr>
          <w:rFonts w:cs="Arial"/>
          <w:szCs w:val="20"/>
        </w:rPr>
      </w:pPr>
      <w:r>
        <w:t>Sudarea cu productivitate ridicată cu TPS/i TWIN Push permite rate de depunere şi viteze de sudare mai ridicate şi reduce efortul de pregătire a lucrărilor şi retuşare a defectelor.</w:t>
      </w:r>
    </w:p>
    <w:p w14:paraId="52C2F525" w14:textId="77777777" w:rsidR="00A64948" w:rsidRPr="00C673F7" w:rsidRDefault="00A64948" w:rsidP="003F6E14">
      <w:pPr>
        <w:rPr>
          <w:rFonts w:cs="Arial"/>
          <w:szCs w:val="20"/>
          <w:lang w:val="en-US"/>
        </w:rPr>
      </w:pPr>
    </w:p>
    <w:p w14:paraId="472984C6" w14:textId="77777777" w:rsidR="0017721C" w:rsidRPr="00C673F7" w:rsidRDefault="0017721C" w:rsidP="003F6E14">
      <w:pPr>
        <w:rPr>
          <w:rFonts w:cs="Arial"/>
          <w:b/>
          <w:szCs w:val="20"/>
          <w:lang w:val="en-US"/>
        </w:rPr>
      </w:pPr>
    </w:p>
    <w:p w14:paraId="1C437964" w14:textId="77777777" w:rsidR="00A72F91" w:rsidRPr="00AE2683" w:rsidRDefault="00634499" w:rsidP="003F6E14">
      <w:pPr>
        <w:rPr>
          <w:rFonts w:cs="Arial"/>
          <w:b/>
          <w:szCs w:val="20"/>
        </w:rPr>
      </w:pPr>
      <w:r>
        <w:rPr>
          <w:b/>
          <w:szCs w:val="20"/>
        </w:rPr>
        <w:t xml:space="preserve">Titluri fotografii: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lastRenderedPageBreak/>
        <w:t xml:space="preserve">Foto 1: </w:t>
      </w:r>
      <w:r>
        <w:t>Procedeul de sudare cu productivitate ridicată tandem garantează o îmbinare eficientă la componentele cu volum mare şi cusături lungi.</w:t>
      </w:r>
    </w:p>
    <w:p w14:paraId="18B84E93" w14:textId="77777777" w:rsidR="00C57436" w:rsidRPr="00C673F7" w:rsidRDefault="00C57436" w:rsidP="003F6E14">
      <w:pPr>
        <w:rPr>
          <w:rFonts w:cs="Arial"/>
          <w:b/>
          <w:szCs w:val="20"/>
          <w:lang w:val="en-US"/>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Foto 2: </w:t>
      </w:r>
      <w:r>
        <w:t>Sârmele pentru sudare izolate una faţă de cealaltă permit ca arcurile electrice să se regleze individual.</w:t>
      </w:r>
    </w:p>
    <w:p w14:paraId="6C178113" w14:textId="77777777" w:rsidR="00FC3AF3" w:rsidRPr="00C673F7" w:rsidRDefault="00FC3AF3" w:rsidP="003F6E14">
      <w:pPr>
        <w:rPr>
          <w:rFonts w:cs="Arial"/>
          <w:b/>
          <w:szCs w:val="20"/>
          <w:lang w:val="en-US"/>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Foto 3: </w:t>
      </w:r>
      <w:r>
        <w:t>Răcirea îmbunătăţită a pistoletului sistemului TPS/i TWIN Push permite durate mari de viaţă ale consumabilelor.</w:t>
      </w:r>
    </w:p>
    <w:p w14:paraId="23789529" w14:textId="77777777" w:rsidR="00512ECD" w:rsidRPr="00C673F7" w:rsidRDefault="00512ECD" w:rsidP="003F6E14">
      <w:pPr>
        <w:rPr>
          <w:rFonts w:cs="Arial"/>
          <w:b/>
          <w:szCs w:val="20"/>
          <w:lang w:val="en-US"/>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Foto 4: </w:t>
      </w:r>
      <w:r>
        <w:t>Sistemul de sudare TPS/i TWIN Push constă din două surse de curent performante TPS/i, controlerul TWIN, un dispozitiv compact de avans sârmă, sistem de răcire, pachete de furtunuri şi pistoletul de sudare TWIN. Noua staţie de curăţare a pistoletului Robacta TSS/i TorchServiceStation şi staţia de schimbare a pistoletului de sudare TX TWIN completează sistemul.</w:t>
      </w:r>
    </w:p>
    <w:p w14:paraId="57C89E43" w14:textId="77777777" w:rsidR="00FC3AF3" w:rsidRPr="00C673F7" w:rsidRDefault="00FC3AF3" w:rsidP="003F6E14">
      <w:pPr>
        <w:rPr>
          <w:rFonts w:cs="Arial"/>
          <w:b/>
          <w:szCs w:val="20"/>
          <w:lang w:val="en-US"/>
        </w:rPr>
      </w:pPr>
    </w:p>
    <w:p w14:paraId="10DE31DB" w14:textId="77777777" w:rsidR="00AE2683" w:rsidRDefault="00AE2683" w:rsidP="003F6E14">
      <w:pPr>
        <w:rPr>
          <w:rFonts w:cs="Arial"/>
          <w:b/>
          <w:szCs w:val="20"/>
          <w:lang w:val="en-US"/>
        </w:rPr>
      </w:pPr>
    </w:p>
    <w:p w14:paraId="109814E3" w14:textId="77777777" w:rsidR="00C673F7" w:rsidRPr="00C673F7" w:rsidRDefault="00C673F7" w:rsidP="003F6E14">
      <w:pPr>
        <w:rPr>
          <w:rFonts w:cs="Arial"/>
          <w:szCs w:val="20"/>
          <w:lang w:val="en-US"/>
        </w:rPr>
      </w:pPr>
    </w:p>
    <w:p w14:paraId="7D22CFF8" w14:textId="77777777" w:rsidR="00C673F7" w:rsidRPr="00AE2683" w:rsidRDefault="00C673F7" w:rsidP="00C673F7">
      <w:pPr>
        <w:rPr>
          <w:rFonts w:cs="Arial"/>
          <w:szCs w:val="20"/>
        </w:rPr>
      </w:pPr>
      <w:r>
        <w:t>Fotografii: Fronius International GmbH, reproducere gratuită</w:t>
      </w:r>
    </w:p>
    <w:p w14:paraId="3B915FB2" w14:textId="77777777" w:rsidR="00C673F7" w:rsidRPr="00BA0E7C" w:rsidRDefault="00C673F7" w:rsidP="00C673F7">
      <w:pPr>
        <w:rPr>
          <w:rFonts w:cs="Arial"/>
          <w:szCs w:val="20"/>
        </w:rPr>
      </w:pPr>
    </w:p>
    <w:p w14:paraId="5310FA38" w14:textId="77777777" w:rsidR="00C673F7" w:rsidRDefault="00C673F7" w:rsidP="00C673F7">
      <w:r>
        <w:t>Acest comunicat de presă, însoţit de fotografii, este disponibil pe Internet pentru descărcare:</w:t>
      </w:r>
    </w:p>
    <w:p w14:paraId="4D5C05EB" w14:textId="77777777" w:rsidR="00C673F7" w:rsidRDefault="00C673F7" w:rsidP="00C673F7">
      <w:hyperlink r:id="rId18" w:history="1">
        <w:r>
          <w:rPr>
            <w:rStyle w:val="Hyperlink"/>
          </w:rPr>
          <w:t>www.fronius.com/de/schweisstechnik/infocenter/presse</w:t>
        </w:r>
      </w:hyperlink>
    </w:p>
    <w:p w14:paraId="5E5BDE76" w14:textId="77777777" w:rsidR="00C673F7" w:rsidRPr="00BA0E7C" w:rsidRDefault="00C673F7" w:rsidP="00C673F7">
      <w:pPr>
        <w:rPr>
          <w:rFonts w:cs="Arial"/>
          <w:b/>
          <w:szCs w:val="20"/>
        </w:rPr>
      </w:pPr>
    </w:p>
    <w:p w14:paraId="057249C2" w14:textId="77777777" w:rsidR="00C673F7" w:rsidRPr="00BA0E7C" w:rsidRDefault="00C673F7" w:rsidP="00C673F7">
      <w:pPr>
        <w:rPr>
          <w:rFonts w:cs="Arial"/>
          <w:b/>
          <w:szCs w:val="20"/>
        </w:rPr>
      </w:pPr>
    </w:p>
    <w:p w14:paraId="0C8458BE" w14:textId="77777777" w:rsidR="00C673F7" w:rsidRDefault="00C673F7" w:rsidP="00C673F7">
      <w:r>
        <w:rPr>
          <w:b/>
          <w:bCs/>
        </w:rPr>
        <w:t>Departamentul Perfect Welding</w:t>
      </w:r>
      <w:bookmarkStart w:id="0" w:name="_GoBack"/>
      <w:bookmarkEnd w:id="0"/>
    </w:p>
    <w:p w14:paraId="4C4D2C84" w14:textId="77777777" w:rsidR="00C673F7" w:rsidRDefault="00C673F7" w:rsidP="00C673F7">
      <w:r>
        <w:t xml:space="preserve">Fronius Perfect Welding este lider în materie de inovaţii în domeniul sudării cu arc electric şi prin presiune în puncte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47B1A655" w14:textId="77777777" w:rsidR="00C673F7" w:rsidRDefault="00C673F7" w:rsidP="00C673F7"/>
    <w:p w14:paraId="0546F7AE" w14:textId="77777777" w:rsidR="00C673F7" w:rsidRDefault="00C673F7" w:rsidP="00C673F7">
      <w:r>
        <w:rPr>
          <w:b/>
          <w:bCs/>
        </w:rPr>
        <w:t>Fronius International GmbH</w:t>
      </w:r>
    </w:p>
    <w:p w14:paraId="0E9877CD" w14:textId="77777777" w:rsidR="00C673F7" w:rsidRDefault="00C673F7" w:rsidP="00C673F7">
      <w:pPr>
        <w:rPr>
          <w:i/>
          <w:iCs/>
        </w:rPr>
      </w:pPr>
      <w:r>
        <w:t xml:space="preserve">Fronius International este o companie austriacă cu sediul în Pettenbach şi cu alte locaţii în Wels, Thalheim, Steinhaus şi Sattledt. Firma, care numără 4.760 de angajaţi în întreaga lume, este activă în domeniile: tehnica sudării, instalaţii fotovoltaice şi tehnica de încărcare a bateriilor. 92 % din produsele sale sunt exportate prin cele 30 de filiale şi reprezentanţe / parteneri comerciali în peste 60 de ţări. Produse inovative, servicii complexe şi 1.253 de brevete acordate fac din Fronius lider în materie de inovaţii pe piaţa mondială. </w:t>
      </w:r>
    </w:p>
    <w:p w14:paraId="0A389FAF" w14:textId="77777777" w:rsidR="00C673F7" w:rsidRDefault="00C673F7" w:rsidP="00C673F7">
      <w:pPr>
        <w:rPr>
          <w:b/>
          <w:bCs/>
        </w:rPr>
      </w:pPr>
    </w:p>
    <w:p w14:paraId="3952B67F" w14:textId="77777777" w:rsidR="00C673F7" w:rsidRDefault="00C673F7" w:rsidP="00C673F7">
      <w:pPr>
        <w:rPr>
          <w:b/>
          <w:bCs/>
        </w:rPr>
      </w:pPr>
    </w:p>
    <w:p w14:paraId="352FE946" w14:textId="77777777" w:rsidR="00C673F7" w:rsidRDefault="00C673F7" w:rsidP="00C673F7">
      <w:pPr>
        <w:ind w:right="29"/>
      </w:pPr>
      <w:r>
        <w:rPr>
          <w:b/>
          <w:bCs/>
        </w:rPr>
        <w:t>Pentru mai multe informaţii vă rugăm să vă adresaţi:</w:t>
      </w:r>
      <w:r>
        <w:rPr>
          <w:b/>
          <w:bCs/>
        </w:rPr>
        <w:br/>
      </w:r>
      <w:r>
        <w:t>Doamnei Andreea Bobic, CM Metal Trading SRL, Romania</w:t>
      </w:r>
    </w:p>
    <w:p w14:paraId="0A14F2AE" w14:textId="77777777" w:rsidR="00C673F7" w:rsidRDefault="00C673F7" w:rsidP="00C673F7">
      <w:r>
        <w:t xml:space="preserve">E-mail: </w:t>
      </w:r>
      <w:hyperlink r:id="rId19" w:history="1">
        <w:r>
          <w:rPr>
            <w:rStyle w:val="Hyperlink"/>
          </w:rPr>
          <w:t>andreea.bobic@cmmetal.ro</w:t>
        </w:r>
      </w:hyperlink>
    </w:p>
    <w:p w14:paraId="60AEC54A" w14:textId="77777777" w:rsidR="00C673F7" w:rsidRPr="00523B32" w:rsidRDefault="00C673F7" w:rsidP="00C673F7">
      <w:pPr>
        <w:ind w:right="29"/>
      </w:pPr>
    </w:p>
    <w:p w14:paraId="2BD39E0C" w14:textId="77777777" w:rsidR="00C673F7" w:rsidRDefault="00C673F7" w:rsidP="00C673F7">
      <w:pPr>
        <w:ind w:right="29"/>
        <w:rPr>
          <w:b/>
          <w:bCs/>
        </w:rPr>
      </w:pPr>
      <w:r>
        <w:rPr>
          <w:b/>
          <w:bCs/>
        </w:rPr>
        <w:t>Vă rugăm să trimiteţi o copie a documentului agenţiei noastre:</w:t>
      </w:r>
    </w:p>
    <w:p w14:paraId="7062F6FE" w14:textId="77777777" w:rsidR="00C673F7" w:rsidRDefault="00C673F7" w:rsidP="00C673F7">
      <w:pPr>
        <w:ind w:right="29"/>
      </w:pPr>
      <w:r>
        <w:t>a1kommunikation Schweizer GmbH, Frau Kirsten Ludwig,</w:t>
      </w:r>
    </w:p>
    <w:p w14:paraId="1FAA56CD" w14:textId="77777777" w:rsidR="00C673F7" w:rsidRPr="00523B32" w:rsidRDefault="00C673F7" w:rsidP="00C673F7">
      <w:pPr>
        <w:ind w:right="29"/>
      </w:pPr>
      <w:r>
        <w:t>Oberdorfstraße 31 A, D – 70794 Filderstadt,</w:t>
      </w:r>
    </w:p>
    <w:p w14:paraId="64D0B8EF" w14:textId="77777777" w:rsidR="00C673F7" w:rsidRPr="00523B32" w:rsidRDefault="00C673F7" w:rsidP="00C673F7">
      <w:pPr>
        <w:ind w:right="29"/>
      </w:pPr>
      <w:r>
        <w:t xml:space="preserve">Tel.: +49 (0)711 9454161-20, E-mail: </w:t>
      </w:r>
      <w:hyperlink r:id="rId20" w:history="1">
        <w:r>
          <w:rPr>
            <w:rStyle w:val="Hyperlink"/>
          </w:rPr>
          <w:t>Kirsten.Ludwig@a1kommunikation.de</w:t>
        </w:r>
      </w:hyperlink>
    </w:p>
    <w:p w14:paraId="36538716" w14:textId="77777777" w:rsidR="00C673F7" w:rsidRDefault="00C673F7" w:rsidP="00C673F7">
      <w:pPr>
        <w:rPr>
          <w:rFonts w:cs="Arial"/>
          <w:szCs w:val="20"/>
        </w:rPr>
      </w:pPr>
    </w:p>
    <w:p w14:paraId="3D721DCD" w14:textId="77777777" w:rsidR="00C673F7" w:rsidRDefault="00C673F7" w:rsidP="00C673F7">
      <w:pPr>
        <w:rPr>
          <w:rFonts w:cs="Arial"/>
          <w:szCs w:val="20"/>
        </w:rPr>
      </w:pPr>
    </w:p>
    <w:p w14:paraId="4B9D9159" w14:textId="5DEE0DE6" w:rsidR="009D3B05" w:rsidRPr="00C673F7" w:rsidRDefault="00C673F7" w:rsidP="00C673F7">
      <w:pPr>
        <w:rPr>
          <w:rFonts w:cs="Arial"/>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p>
    <w:sectPr w:rsidR="009D3B05" w:rsidRPr="00C673F7"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C673F7">
      <w:rPr>
        <w:noProof/>
        <w:sz w:val="16"/>
        <w:szCs w:val="16"/>
      </w:rPr>
      <w:t>2</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C673F7">
      <w:rPr>
        <w:noProof/>
        <w:sz w:val="16"/>
        <w:szCs w:val="16"/>
      </w:rPr>
      <w:t>3</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673F7"/>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de/schweisstechnik/infocenter/press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customXml" Target="../customXml/item6.xml"/><Relationship Id="rId10" Type="http://schemas.openxmlformats.org/officeDocument/2006/relationships/footnotes" Target="footnotes.xml"/><Relationship Id="rId19" Type="http://schemas.openxmlformats.org/officeDocument/2006/relationships/hyperlink" Target="mailto:andreea.bobic@cmmetal.ro"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253</Value>
    </TaxCatchAll>
    <Resolution xmlns="dc0c2c3d-e9fc-4a0d-820b-87ab82e65f20" xsi:nil="true"/>
    <Country xmlns="dc0c2c3d-e9fc-4a0d-820b-87ab82e65f20">
      <Value>33</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9575;SE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C-100405</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M-128469</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PW_PR_TPSi_TWIN_RO</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3457UUQQYVA2-1576582820-9575</_dlc_DocId>
    <_dlc_DocIdUrl xmlns="92f60987-cbcc-4245-baaf-239af3bfd6e8">
      <Url>https://downloads.fronius.com/_layouts/15/DocIdRedir.aspx?ID=3457UUQQYVA2-1576582820-9575</Url>
      <Description>3457UUQQYVA2-1576582820-9575</Description>
    </_dlc_DocIdUrl>
  </documentManagement>
</p:properties>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2.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3.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4.xml><?xml version="1.0" encoding="utf-8"?>
<ds:datastoreItem xmlns:ds="http://schemas.openxmlformats.org/officeDocument/2006/customXml" ds:itemID="{E9EB4E92-43D4-480B-8E25-018A452D816D}"/>
</file>

<file path=customXml/itemProps5.xml><?xml version="1.0" encoding="utf-8"?>
<ds:datastoreItem xmlns:ds="http://schemas.openxmlformats.org/officeDocument/2006/customXml" ds:itemID="{058DA13A-0611-4935-93A5-1D6FBA803AD1}">
  <ds:schemaRefs>
    <ds:schemaRef ds:uri="http://schemas.openxmlformats.org/officeDocument/2006/bibliography"/>
  </ds:schemaRefs>
</ds:datastoreItem>
</file>

<file path=customXml/itemProps6.xml><?xml version="1.0" encoding="utf-8"?>
<ds:datastoreItem xmlns:ds="http://schemas.openxmlformats.org/officeDocument/2006/customXml" ds:itemID="{9EF338D5-9A7F-4380-9D4F-9CA5D5F1A6BB}"/>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1105</Words>
  <Characters>6757</Characters>
  <Application>Microsoft Office Word</Application>
  <DocSecurity>4</DocSecurity>
  <Lines>56</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7847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PW_PR_TPSi_TWIN_RO</dc:title>
  <dc:subject/>
  <dc:creator>Demirok Fidan</dc:creator>
  <cp:keywords/>
  <cp:lastModifiedBy>Stiglhuber Carolina</cp:lastModifiedBy>
  <cp:revision>2</cp:revision>
  <cp:lastPrinted>2016-07-21T12:13:00Z</cp:lastPrinted>
  <dcterms:created xsi:type="dcterms:W3CDTF">2019-07-08T08:08:00Z</dcterms:created>
  <dcterms:modified xsi:type="dcterms:W3CDTF">2019-07-08T08:08:00Z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5,90;beb323fc-0212-4837-8558-f431e1d953f5,94;beb323fc-0212-4837-8558-f431e1d953f5,99;f23899af-90e5-4213-b122-4e07c0f837c2,103;f23899af-90e5-4213-b122-4e07c0f837c2,107;f23899af-90e5-4213-b122-4e07c0f837c2,110;f23899af-90e5-4213-b122-4e07c0f837c2,113;f23899af-90e5-4213-b122-4e07c0f837c2,117;f23899af-90e5-4213-b122-4e07c0f837c2,120;f23899af-90e5-4213-b122-4e07c0f837c2,123;f23899af-90e5-4213-b122-4e07c0f837c2,126;f23899af-90e5-4213-b122-4e07c0f837c2,129;f23899af-90e5-4213-b122-4e07c0f837c2,132;f23899af-90e5-4213-b122-4e07c0f837c2,135;f23899af-90e5-4213-b122-4e07c0f837c2,138;f23899af-90e5-4213-b122-4e07c0f837c2,141;f23899af-90e5-4213-b122-4e07c0f837c2,144;f23899af-90e5-4213-b122-4e07c0f837c2,148;f23899af-90e5-4213-b122-4e07c0f837c2,151;f23899af-90e5-4213-b122-4e07c0f837c2,154;f23899af-90e5-4213-b122-4e07c0f837c2,157;f23899af-90e5-4213-b122-4e07c0f837c2,160;f23899af-90e5-4213-b122-4e07c0f837c2,163;f23899af-90e5-4213-b122-4e07c0f837c2,166;f23899af-90e5-4213-b122-4e07c0f837c2,169;f23899af-90e5-4213-b122-4e07c0f837c2,173;f23899af-90e5-4213-b122-4e07c0f837c2,177;f23899af-90e5-4213-b122-4e07c0f837c2,181;f23899af-90e5-4213-b122-4e07c0f837c2,184;f23899af-90e5-4213-b122-4e07c0f837c2,187;f23899af-90e5-4213-b122-4e07c0f837c2,190;f23899af-90e5-4213-b122-4e07c0f837c2,194;f23899af-90e5-4213-b122-4e07c0f837c2,197;f23899af-90e5-4213-b122-4e07c0f837c2,201;f23899af-90e5-4213-b122-4e07c0f837c2,204;a8dd0ddf-bfd4-44dd-a6bb-0c3c9675194c,208;a8dd0ddf-bfd4-44dd-a6bb-0c3c9675194c,208;6d1b5151-d866-4942-aea1-17c7cb28edce,233;6d1b5151-d866-4942-aea1-17c7cb28edce,237;84063e84-3b90-4264-9d91-20c80f9713f8,289;84063e84-3b90-4264-9d91-20c80f9713f8,289;84063e84-3b90-4264-9d91-20c80f9713f8,293;84063e84-3b90-4264-9d91-20c80f9713f8,306;</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253;##RO|9e906bbb-ac77-449c-9741-1f98c5f46609</vt:lpwstr>
  </property>
  <property fmtid="{D5CDD505-2E9C-101B-9397-08002B2CF9AE}" pid="12" name="DisableEventReceiver">
    <vt:bool>false</vt:bool>
  </property>
  <property fmtid="{D5CDD505-2E9C-101B-9397-08002B2CF9AE}" pid="13" name="_dlc_DocIdItemGuid">
    <vt:lpwstr>cb1402f4-e94c-4bd6-9c21-6250ee6c06b8</vt:lpwstr>
  </property>
</Properties>
</file>