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268F29" w14:textId="77777777" w:rsidR="00377B4F" w:rsidRPr="00EF7D7C" w:rsidRDefault="00377B4F" w:rsidP="003F6E14">
      <w:pPr>
        <w:rPr>
          <w:rFonts w:cs="Arial"/>
          <w:lang w:val="de-DE"/>
        </w:rPr>
      </w:pPr>
    </w:p>
    <w:p w14:paraId="154EF782" w14:textId="77777777" w:rsidR="006021F3" w:rsidRPr="00EF7D7C" w:rsidRDefault="006021F3" w:rsidP="003F6E14">
      <w:pPr>
        <w:rPr>
          <w:rFonts w:cs="Arial"/>
          <w:lang w:val="de-DE"/>
        </w:rPr>
      </w:pPr>
    </w:p>
    <w:p w14:paraId="1179E104" w14:textId="77777777" w:rsidR="006021F3" w:rsidRPr="00EF7D7C" w:rsidRDefault="006021F3" w:rsidP="003F6E14">
      <w:pPr>
        <w:rPr>
          <w:rFonts w:cs="Arial"/>
          <w:lang w:val="de-DE"/>
        </w:rPr>
        <w:sectPr w:rsidR="006021F3" w:rsidRPr="00EF7D7C" w:rsidSect="008527B9">
          <w:headerReference w:type="default" r:id="rId12"/>
          <w:footerReference w:type="default" r:id="rId13"/>
          <w:pgSz w:w="11906" w:h="16838"/>
          <w:pgMar w:top="1977" w:right="746" w:bottom="1134" w:left="1260" w:header="708" w:footer="481" w:gutter="0"/>
          <w:cols w:space="708"/>
          <w:docGrid w:linePitch="360"/>
        </w:sectPr>
      </w:pPr>
    </w:p>
    <w:p w14:paraId="0BB9FF11" w14:textId="77777777" w:rsidR="005B7715" w:rsidRPr="007D19E2" w:rsidRDefault="002937C4" w:rsidP="003F6E14">
      <w:pPr>
        <w:pStyle w:val="berschrift1"/>
        <w:spacing w:before="0" w:after="0"/>
      </w:pPr>
      <w:r>
        <w:t>COMUNICADO À IMPRENSA</w:t>
      </w:r>
    </w:p>
    <w:p w14:paraId="797AF3E2" w14:textId="77777777" w:rsidR="00A206DD" w:rsidRPr="00B02242" w:rsidRDefault="00A206DD" w:rsidP="003F6E14">
      <w:pPr>
        <w:rPr>
          <w:rFonts w:cs="Arial"/>
          <w:szCs w:val="20"/>
          <w:lang w:val="en-US"/>
        </w:rPr>
      </w:pPr>
    </w:p>
    <w:p w14:paraId="7CEB1497" w14:textId="77777777" w:rsidR="003F6E14" w:rsidRPr="00B02242" w:rsidRDefault="003F6E14" w:rsidP="003F6E14">
      <w:pPr>
        <w:pStyle w:val="Titel"/>
        <w:pBdr>
          <w:bottom w:val="none" w:sz="0" w:space="0" w:color="auto"/>
        </w:pBdr>
        <w:spacing w:after="0"/>
        <w:rPr>
          <w:rFonts w:ascii="Arial" w:hAnsi="Arial"/>
          <w:b/>
          <w:color w:val="000000"/>
          <w:sz w:val="28"/>
          <w:lang w:val="en-US"/>
        </w:rPr>
      </w:pPr>
    </w:p>
    <w:p w14:paraId="6181EFD9" w14:textId="77777777" w:rsidR="00AE2683" w:rsidRPr="00FD0D41" w:rsidRDefault="0068168E" w:rsidP="003F6E14">
      <w:pPr>
        <w:pStyle w:val="Titel"/>
        <w:pBdr>
          <w:bottom w:val="none" w:sz="0" w:space="0" w:color="auto"/>
        </w:pBdr>
        <w:spacing w:after="0"/>
        <w:rPr>
          <w:rFonts w:ascii="Arial" w:hAnsi="Arial" w:cs="Arial"/>
          <w:b/>
          <w:color w:val="000000"/>
          <w:sz w:val="28"/>
          <w:szCs w:val="22"/>
        </w:rPr>
      </w:pPr>
      <w:r>
        <w:rPr>
          <w:rFonts w:ascii="Arial" w:hAnsi="Arial"/>
          <w:b/>
          <w:color w:val="000000"/>
          <w:sz w:val="28"/>
        </w:rPr>
        <w:t>A dupla perfeita para maior eficiência</w:t>
      </w:r>
    </w:p>
    <w:p w14:paraId="50DB2F93" w14:textId="77777777" w:rsidR="00AE2683" w:rsidRDefault="00742B19" w:rsidP="003F6E14">
      <w:pPr>
        <w:rPr>
          <w:rFonts w:cs="Arial"/>
          <w:b/>
          <w:szCs w:val="20"/>
        </w:rPr>
      </w:pPr>
      <w:r>
        <w:rPr>
          <w:b/>
          <w:szCs w:val="20"/>
        </w:rPr>
        <w:t>Soldagem tandem TPS/i TWIN Push da Fronius</w:t>
      </w:r>
    </w:p>
    <w:p w14:paraId="03BCE8C8" w14:textId="77777777" w:rsidR="00742B19" w:rsidRPr="00B02242" w:rsidRDefault="00742B19" w:rsidP="003F6E14">
      <w:pPr>
        <w:rPr>
          <w:rFonts w:cs="Arial"/>
          <w:b/>
          <w:szCs w:val="20"/>
        </w:rPr>
      </w:pPr>
    </w:p>
    <w:p w14:paraId="013AF3FC" w14:textId="77777777" w:rsidR="00AE2683" w:rsidRPr="00B02242" w:rsidRDefault="00AE2683" w:rsidP="003F6E14">
      <w:pPr>
        <w:rPr>
          <w:rFonts w:cs="Arial"/>
          <w:b/>
          <w:szCs w:val="20"/>
        </w:rPr>
      </w:pPr>
    </w:p>
    <w:p w14:paraId="4DAECE48" w14:textId="3A678E22" w:rsidR="00283F56" w:rsidRDefault="00283F56" w:rsidP="003F6E14">
      <w:pPr>
        <w:rPr>
          <w:rFonts w:cs="Arial"/>
          <w:b/>
          <w:szCs w:val="20"/>
        </w:rPr>
      </w:pPr>
      <w:r>
        <w:rPr>
          <w:b/>
          <w:szCs w:val="20"/>
        </w:rPr>
        <w:t>Agora a Fronius oferece também seu processo de soldagem tandem para a plataforma de soldagem TPS/i. O sistema de soldagem de alto desempenho TPS/i TWIN Push não é só compacto, fácil de usar e conectável em rede, mas também traz avanços para o processo de soldagem. Para os usuários, isso significa mais material depositado por unidade de tempo, mais velocidade de soldagem e mais eficiência na produção, devido ao menor custo com acabamento e retrabalho.</w:t>
      </w:r>
    </w:p>
    <w:p w14:paraId="347BFB53" w14:textId="77777777" w:rsidR="00AE2683" w:rsidRPr="00B02242" w:rsidRDefault="00AE2683" w:rsidP="003F6E14">
      <w:pPr>
        <w:rPr>
          <w:rFonts w:eastAsia="Times New Roman" w:cs="Arial"/>
          <w:b/>
          <w:szCs w:val="20"/>
          <w:lang w:val="en-US"/>
        </w:rPr>
      </w:pPr>
    </w:p>
    <w:p w14:paraId="136569EF" w14:textId="389E506A" w:rsidR="005F13D7" w:rsidRDefault="006054EA" w:rsidP="005F13D7">
      <w:pPr>
        <w:rPr>
          <w:rFonts w:cs="Arial"/>
          <w:szCs w:val="20"/>
        </w:rPr>
      </w:pPr>
      <w:r>
        <w:t>A soldagem de alto desempenho é caracterizada por um alto nível do material depositado por unidade de tempo, que permite um grande volume de cordão ou alta velocidade de soldagem. Isso é especialmente importante na junção de componentes de grande volume ou cordões longos para máquinas de construção, veículos comerciais e peças de automóveis e na construção naval. A alta capacidade de processamento da TPS/i melhora o processo tandem TWIN Push sincronizado: o processo é ainda mais estável e confiável e a elevada capacidade de extensão economiza tempo do usuário na preparação da peça a ser soldada O retrabalho também pode ser reduzido, pois a regulagem exata do processo de soldagem possibilita um controle de gota de soldagem e uma baixa aplicação de calor na peça, garantindo assim resultados de poucos respingos com mínima deformação.</w:t>
      </w:r>
    </w:p>
    <w:p w14:paraId="349DB3F1" w14:textId="77777777" w:rsidR="00D72E53" w:rsidRPr="00B02242" w:rsidRDefault="00D72E53" w:rsidP="008F345C">
      <w:pPr>
        <w:rPr>
          <w:rFonts w:cs="Arial"/>
          <w:szCs w:val="20"/>
          <w:lang w:val="en-US"/>
        </w:rPr>
      </w:pPr>
    </w:p>
    <w:p w14:paraId="0A2DFC88" w14:textId="10ACBC8F" w:rsidR="00262FAC" w:rsidRDefault="00ED52BC" w:rsidP="008F345C">
      <w:pPr>
        <w:rPr>
          <w:rFonts w:cs="Arial"/>
          <w:szCs w:val="20"/>
        </w:rPr>
      </w:pPr>
      <w:r>
        <w:t>Com a TPS/i TWIN Push, a Fronius oferece novas opções de processo e de regulagem: o PMC (Pulse Multi Control) TWIN é caracterizado por um arco voltaico de impulso curto e focado, garantindo assim uma melhor penetração de solda e uma elevada velocidade de soldagem. A opção PulseSync permite ao usuário escolher velocidades de avanço muito diferentes para ambos os eletrodos de arame. Assim, pode-se ter mais flexibilidade para adaptar os parâmetros de soldagem perfeitamente a seu componente e conseguir velocidades de soldagem mais altas. A fonte de solda corrige automaticamente todos os parâmetros relevantes, como as características de ignição, o tempo de soltura de pingos e a taxa de pulsação. Além disso, novos mecanismos de regulação fornecem suporte ao soldador: O estabilizador de comprimento do arco voltaico e o estabilizador de penetração de solda aumentam a estabilidade do processo e facilitam a parametrização. Se a posição do cordão varia – por exemplo, por causa da deformação da peça ou fixação incorreta – a busca automática de cordão auxilia: durante a solda, o sistema de soldagem transmite ao robô um sinal de busca de cordão para que ele faça a correção, se for necessário.</w:t>
      </w:r>
    </w:p>
    <w:p w14:paraId="76F2206F" w14:textId="77777777" w:rsidR="00262FAC" w:rsidRPr="00B02242" w:rsidRDefault="00262FAC" w:rsidP="008F345C">
      <w:pPr>
        <w:rPr>
          <w:rFonts w:cs="Arial"/>
          <w:szCs w:val="20"/>
          <w:lang w:val="en-US"/>
        </w:rPr>
      </w:pPr>
    </w:p>
    <w:p w14:paraId="04512EE7" w14:textId="77777777" w:rsidR="00D73B2F" w:rsidRPr="00742B19" w:rsidRDefault="00742B19" w:rsidP="006054EA">
      <w:pPr>
        <w:rPr>
          <w:rFonts w:cs="Arial"/>
          <w:b/>
          <w:szCs w:val="20"/>
        </w:rPr>
      </w:pPr>
      <w:r>
        <w:rPr>
          <w:b/>
          <w:szCs w:val="20"/>
        </w:rPr>
        <w:t>Sistema sofisticado – Longa vida útil</w:t>
      </w:r>
    </w:p>
    <w:p w14:paraId="3980F7F6" w14:textId="77777777" w:rsidR="004F2F46" w:rsidRPr="00B02242" w:rsidRDefault="004F2F46" w:rsidP="004F2F46">
      <w:pPr>
        <w:rPr>
          <w:rFonts w:cs="Arial"/>
          <w:szCs w:val="20"/>
          <w:lang w:val="en-US"/>
        </w:rPr>
      </w:pPr>
    </w:p>
    <w:p w14:paraId="23B55A02" w14:textId="7B26340E" w:rsidR="008F345C" w:rsidRDefault="004F2F46" w:rsidP="003F6E14">
      <w:pPr>
        <w:rPr>
          <w:rFonts w:cs="Arial"/>
          <w:szCs w:val="20"/>
        </w:rPr>
      </w:pPr>
      <w:r>
        <w:t>O processo TWIN se baseia na soldagem tandem, na qual dois eletrodos de arame são alimentados em uma tocha de solda com um bico de gás em comum, mas permanecem eletricamente isolados um do outro. Como resultado, os arcos voltaicos podem ser regulados individualmente e – mesmo com potências diferentes – sincronizados e coordenados com precisão. Além de duas fontes de solda TPS/i, o sistema TWIN Push precisa de um TWIN Controller. Isso sincroniza o processo de soldagem e funciona como uma interface compatível com todas as marcas de robôs. Avanço de arame compacto, refrigeração, jogo de mangueira e tocha de solda TWIN completam o sistema de soldagem.</w:t>
      </w:r>
    </w:p>
    <w:p w14:paraId="7F4AB6B2" w14:textId="77777777" w:rsidR="008F345C" w:rsidRPr="00B02242" w:rsidRDefault="008F345C" w:rsidP="003F6E14">
      <w:pPr>
        <w:rPr>
          <w:rFonts w:cs="Arial"/>
          <w:szCs w:val="20"/>
        </w:rPr>
      </w:pPr>
    </w:p>
    <w:p w14:paraId="704FBECD" w14:textId="3EAC2726" w:rsidR="002B21C3" w:rsidRPr="00CB251A" w:rsidRDefault="0068168E" w:rsidP="0068168E">
      <w:pPr>
        <w:rPr>
          <w:rFonts w:cs="Arial"/>
          <w:szCs w:val="20"/>
        </w:rPr>
      </w:pPr>
      <w:r>
        <w:t>A refrigeração melhorada da tocha de solda permite uma vida útil mais longa das peças de desgaste. Além disso, a Fronius desenvolveu a Robacta TSS/i TorchServiceStation: o sistema de limpeza da tocha de solda combina diferentes métodos de limpeza, tais como limpeza por alta pressão, limpeza com escova e limpeza magnética, além da limpeza por fresa. A limpeza da tocha de solda profissional reduz os custos totais devido a uma vida mais longa das peças de desgaste.</w:t>
      </w:r>
    </w:p>
    <w:p w14:paraId="3E57AD4B" w14:textId="77777777" w:rsidR="00F13681" w:rsidRPr="00B02242" w:rsidRDefault="00F13681" w:rsidP="003F6E14">
      <w:pPr>
        <w:rPr>
          <w:rFonts w:cs="Arial"/>
          <w:szCs w:val="20"/>
        </w:rPr>
      </w:pPr>
    </w:p>
    <w:p w14:paraId="75A3B335" w14:textId="4B6AB510" w:rsidR="00FD1C8A" w:rsidRDefault="001F2E3B" w:rsidP="003F6E14">
      <w:pPr>
        <w:rPr>
          <w:rFonts w:cs="Arial"/>
          <w:szCs w:val="20"/>
        </w:rPr>
      </w:pPr>
      <w:r>
        <w:t xml:space="preserve">A eficiência do sistema de soldagem pode ser aumentada ainda mais usando a estação de troca da tocha de solda TX TWIN: o console possibilita a troca automatizada entre corpos da tocha de solda TWIN e Single. Assim, o mesmo sistema pode soldar pontos de difícil acesso com o corpo da tocha de solda Single mais </w:t>
      </w:r>
      <w:r>
        <w:lastRenderedPageBreak/>
        <w:t>compacto. O robô troca automaticamente o corpo da tocha de solda – isso faz com que os turnos automatizados sejam possíveis.</w:t>
      </w:r>
    </w:p>
    <w:p w14:paraId="449FE299" w14:textId="77777777" w:rsidR="005B0718" w:rsidRPr="00B02242" w:rsidRDefault="005B0718" w:rsidP="003F6E14">
      <w:pPr>
        <w:rPr>
          <w:rFonts w:cs="Arial"/>
          <w:color w:val="FF0000"/>
          <w:szCs w:val="20"/>
          <w:lang w:val="en-US"/>
        </w:rPr>
      </w:pPr>
    </w:p>
    <w:p w14:paraId="44C4E4F1" w14:textId="77777777" w:rsidR="002A1356" w:rsidRPr="00B02242" w:rsidRDefault="002A1356" w:rsidP="003F6E14">
      <w:pPr>
        <w:rPr>
          <w:rFonts w:cs="Arial"/>
          <w:szCs w:val="20"/>
          <w:lang w:val="en-US"/>
        </w:rPr>
      </w:pPr>
    </w:p>
    <w:p w14:paraId="508FD7D4" w14:textId="0EAAA192" w:rsidR="00ED4FC0" w:rsidRPr="00AE2683" w:rsidRDefault="00B02242" w:rsidP="003F6E14">
      <w:pPr>
        <w:rPr>
          <w:rFonts w:cs="Arial"/>
          <w:i/>
          <w:szCs w:val="20"/>
        </w:rPr>
      </w:pPr>
      <w:r>
        <w:rPr>
          <w:i/>
          <w:szCs w:val="20"/>
        </w:rPr>
        <w:t>4</w:t>
      </w:r>
      <w:r w:rsidR="00E24368">
        <w:rPr>
          <w:i/>
          <w:szCs w:val="20"/>
        </w:rPr>
        <w:t>.</w:t>
      </w:r>
      <w:r>
        <w:rPr>
          <w:i/>
          <w:szCs w:val="20"/>
        </w:rPr>
        <w:t>165</w:t>
      </w:r>
      <w:r w:rsidR="00E24368">
        <w:rPr>
          <w:i/>
          <w:szCs w:val="20"/>
        </w:rPr>
        <w:t xml:space="preserve"> caracteres incluindo espaços</w:t>
      </w:r>
    </w:p>
    <w:p w14:paraId="3957B788" w14:textId="77777777" w:rsidR="00505D71" w:rsidRPr="00B02242" w:rsidRDefault="00505D71" w:rsidP="003F6E14">
      <w:pPr>
        <w:rPr>
          <w:rFonts w:cs="Arial"/>
          <w:b/>
          <w:szCs w:val="20"/>
          <w:lang w:val="en-US"/>
        </w:rPr>
      </w:pPr>
    </w:p>
    <w:p w14:paraId="6614926E" w14:textId="77777777" w:rsidR="00A64948" w:rsidRPr="00B02242" w:rsidRDefault="00A64948" w:rsidP="003F6E14">
      <w:pPr>
        <w:rPr>
          <w:rFonts w:cs="Arial"/>
          <w:b/>
          <w:szCs w:val="20"/>
          <w:lang w:val="en-US"/>
        </w:rPr>
      </w:pPr>
    </w:p>
    <w:p w14:paraId="3E427A40" w14:textId="77777777" w:rsidR="00A64948" w:rsidRPr="00DD3CF2" w:rsidRDefault="00A64948" w:rsidP="00A64948">
      <w:pPr>
        <w:rPr>
          <w:b/>
        </w:rPr>
      </w:pPr>
      <w:r>
        <w:rPr>
          <w:b/>
        </w:rPr>
        <w:t>[Título de navegação: Website]</w:t>
      </w:r>
    </w:p>
    <w:p w14:paraId="1758BF7F" w14:textId="77777777" w:rsidR="00A64948" w:rsidRPr="0095114F" w:rsidRDefault="002F6645" w:rsidP="00A64948">
      <w:r>
        <w:t>TPS/i TWIN Push – soldagem tandem</w:t>
      </w:r>
    </w:p>
    <w:p w14:paraId="42B7213C" w14:textId="77777777" w:rsidR="002F6645" w:rsidRPr="0095114F" w:rsidRDefault="002F6645" w:rsidP="00A64948"/>
    <w:p w14:paraId="0682DA2F" w14:textId="77777777" w:rsidR="00A64948" w:rsidRPr="00DD3CF2" w:rsidRDefault="00A64948" w:rsidP="00A64948">
      <w:pPr>
        <w:rPr>
          <w:b/>
        </w:rPr>
      </w:pPr>
      <w:r>
        <w:rPr>
          <w:b/>
        </w:rPr>
        <w:t>[Nome de display: URL]</w:t>
      </w:r>
    </w:p>
    <w:p w14:paraId="64F8F951" w14:textId="77777777" w:rsidR="00A64948" w:rsidRDefault="002F6645" w:rsidP="00A64948">
      <w:r>
        <w:t>tpsi-twin-push</w:t>
      </w:r>
    </w:p>
    <w:p w14:paraId="3E8173C4" w14:textId="77777777" w:rsidR="002F6645" w:rsidRPr="00283F56" w:rsidRDefault="002F6645" w:rsidP="00A64948"/>
    <w:p w14:paraId="0742E9CB" w14:textId="77777777" w:rsidR="00A64948" w:rsidRPr="00DD3CF2" w:rsidRDefault="00946FAE" w:rsidP="00A64948">
      <w:pPr>
        <w:rPr>
          <w:b/>
        </w:rPr>
      </w:pPr>
      <w:r>
        <w:rPr>
          <w:b/>
        </w:rPr>
        <w:t>[Metatítulo]</w:t>
      </w:r>
    </w:p>
    <w:p w14:paraId="2D0FBE14" w14:textId="77777777" w:rsidR="002F6645" w:rsidRPr="002F6645" w:rsidRDefault="002F6645" w:rsidP="002F6645">
      <w:pPr>
        <w:rPr>
          <w:rFonts w:cs="Arial"/>
          <w:szCs w:val="20"/>
        </w:rPr>
      </w:pPr>
      <w:r>
        <w:t>Soldagem tandem TPS/i TWIN Push da Fronius para mais eficiência</w:t>
      </w:r>
    </w:p>
    <w:p w14:paraId="4FFBDAFC" w14:textId="77777777" w:rsidR="002F6645" w:rsidRPr="00B02242" w:rsidRDefault="002F6645" w:rsidP="00A64948">
      <w:pPr>
        <w:rPr>
          <w:lang w:val="en-US"/>
        </w:rPr>
      </w:pPr>
    </w:p>
    <w:p w14:paraId="0C0CC799" w14:textId="2FFEDF6A" w:rsidR="00A64948" w:rsidRPr="00DD3CF2" w:rsidRDefault="00A64948" w:rsidP="00A64948">
      <w:pPr>
        <w:rPr>
          <w:b/>
        </w:rPr>
      </w:pPr>
      <w:r>
        <w:rPr>
          <w:b/>
        </w:rPr>
        <w:t>[Metadescrição]</w:t>
      </w:r>
    </w:p>
    <w:p w14:paraId="6151E816" w14:textId="57B10213" w:rsidR="002F6645" w:rsidRPr="002F6645" w:rsidRDefault="002357F0" w:rsidP="002F6645">
      <w:pPr>
        <w:rPr>
          <w:rFonts w:cs="Arial"/>
          <w:szCs w:val="20"/>
        </w:rPr>
      </w:pPr>
      <w:r>
        <w:t>A soldagem de alto desempenho com TPS/i TWIN Push permite maior material depositado por unidade de tempo e velocidade de soldagem e reduz o custo com acabamento e retrabalho.</w:t>
      </w:r>
    </w:p>
    <w:p w14:paraId="52C2F525" w14:textId="77777777" w:rsidR="00A64948" w:rsidRPr="00B02242" w:rsidRDefault="00A64948" w:rsidP="003F6E14">
      <w:pPr>
        <w:rPr>
          <w:rFonts w:cs="Arial"/>
          <w:szCs w:val="20"/>
          <w:lang w:val="en-US"/>
        </w:rPr>
      </w:pPr>
    </w:p>
    <w:p w14:paraId="472984C6" w14:textId="77777777" w:rsidR="0017721C" w:rsidRPr="00B02242" w:rsidRDefault="0017721C" w:rsidP="003F6E14">
      <w:pPr>
        <w:rPr>
          <w:rFonts w:cs="Arial"/>
          <w:b/>
          <w:szCs w:val="20"/>
          <w:lang w:val="en-US"/>
        </w:rPr>
      </w:pPr>
    </w:p>
    <w:p w14:paraId="1C437964" w14:textId="77777777" w:rsidR="00A72F91" w:rsidRPr="00AE2683" w:rsidRDefault="00634499" w:rsidP="003F6E14">
      <w:pPr>
        <w:rPr>
          <w:rFonts w:cs="Arial"/>
          <w:b/>
          <w:szCs w:val="20"/>
        </w:rPr>
      </w:pPr>
      <w:r>
        <w:rPr>
          <w:b/>
          <w:szCs w:val="20"/>
        </w:rPr>
        <w:t xml:space="preserve">Legendas das imagens: </w:t>
      </w:r>
    </w:p>
    <w:p w14:paraId="6394A8D9" w14:textId="77777777" w:rsidR="00DA654E" w:rsidRDefault="00DA654E" w:rsidP="003F6E14">
      <w:pPr>
        <w:rPr>
          <w:rFonts w:cs="Arial"/>
          <w:szCs w:val="20"/>
          <w:lang w:val="de-DE"/>
        </w:rPr>
      </w:pPr>
    </w:p>
    <w:p w14:paraId="591E7D86" w14:textId="48431FF8" w:rsidR="00FC3AF3" w:rsidRPr="00AE2683" w:rsidRDefault="00B77353" w:rsidP="003F6E14">
      <w:pPr>
        <w:rPr>
          <w:rFonts w:cs="Arial"/>
          <w:szCs w:val="20"/>
        </w:rPr>
      </w:pPr>
      <w:r>
        <w:rPr>
          <w:noProof/>
          <w:lang w:val="de-AT" w:eastAsia="de-AT"/>
        </w:rPr>
        <w:drawing>
          <wp:inline distT="0" distB="0" distL="0" distR="0" wp14:anchorId="522E4522" wp14:editId="483E5E97">
            <wp:extent cx="1993906" cy="1333500"/>
            <wp:effectExtent l="0" t="0" r="635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2001712" cy="1338721"/>
                    </a:xfrm>
                    <a:prstGeom prst="rect">
                      <a:avLst/>
                    </a:prstGeom>
                  </pic:spPr>
                </pic:pic>
              </a:graphicData>
            </a:graphic>
          </wp:inline>
        </w:drawing>
      </w:r>
    </w:p>
    <w:p w14:paraId="01C25EB7" w14:textId="7BC5EA2C" w:rsidR="00512ECD" w:rsidRDefault="00512ECD" w:rsidP="003F6E14">
      <w:pPr>
        <w:rPr>
          <w:rFonts w:cs="Arial"/>
          <w:szCs w:val="20"/>
        </w:rPr>
      </w:pPr>
      <w:r>
        <w:rPr>
          <w:b/>
          <w:szCs w:val="20"/>
        </w:rPr>
        <w:t xml:space="preserve">Imagem 1: </w:t>
      </w:r>
      <w:r>
        <w:t>O processo de soldagem de alto desempenho tandem assegura um cordão eficiente no caso de componentes de grande volume e cordões longos.</w:t>
      </w:r>
    </w:p>
    <w:p w14:paraId="18B84E93" w14:textId="77777777" w:rsidR="00C57436" w:rsidRPr="00B02242" w:rsidRDefault="00C57436" w:rsidP="003F6E14">
      <w:pPr>
        <w:rPr>
          <w:rFonts w:cs="Arial"/>
          <w:b/>
          <w:szCs w:val="20"/>
          <w:lang w:val="en-US"/>
        </w:rPr>
      </w:pPr>
    </w:p>
    <w:p w14:paraId="71AB2ACE" w14:textId="5D3BA10A" w:rsidR="00FC3AF3" w:rsidRDefault="00B77353" w:rsidP="003F6E14">
      <w:pPr>
        <w:rPr>
          <w:rFonts w:cs="Arial"/>
          <w:b/>
          <w:szCs w:val="20"/>
        </w:rPr>
      </w:pPr>
      <w:r>
        <w:rPr>
          <w:noProof/>
          <w:lang w:val="de-AT" w:eastAsia="de-AT"/>
        </w:rPr>
        <w:drawing>
          <wp:inline distT="0" distB="0" distL="0" distR="0" wp14:anchorId="539DE7DB" wp14:editId="1AB5357F">
            <wp:extent cx="1987550" cy="1479219"/>
            <wp:effectExtent l="0" t="0" r="0" b="698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14114" cy="1498989"/>
                    </a:xfrm>
                    <a:prstGeom prst="rect">
                      <a:avLst/>
                    </a:prstGeom>
                  </pic:spPr>
                </pic:pic>
              </a:graphicData>
            </a:graphic>
          </wp:inline>
        </w:drawing>
      </w:r>
    </w:p>
    <w:p w14:paraId="4E9603AA" w14:textId="77777777" w:rsidR="00FC3AF3" w:rsidRPr="00D358E5" w:rsidRDefault="00FC3AF3" w:rsidP="003F6E14">
      <w:pPr>
        <w:rPr>
          <w:rFonts w:cs="Arial"/>
          <w:szCs w:val="20"/>
        </w:rPr>
      </w:pPr>
      <w:r>
        <w:rPr>
          <w:b/>
          <w:szCs w:val="20"/>
        </w:rPr>
        <w:t xml:space="preserve">Imagem 2: </w:t>
      </w:r>
      <w:r>
        <w:t>Os dois eletrodos de arame isolados permitem que o arco voltaico seja regulado individualmente.</w:t>
      </w:r>
    </w:p>
    <w:p w14:paraId="6C178113" w14:textId="77777777" w:rsidR="00FC3AF3" w:rsidRPr="00B02242" w:rsidRDefault="00FC3AF3" w:rsidP="003F6E14">
      <w:pPr>
        <w:rPr>
          <w:rFonts w:cs="Arial"/>
          <w:b/>
          <w:szCs w:val="20"/>
          <w:lang w:val="en-US"/>
        </w:rPr>
      </w:pPr>
    </w:p>
    <w:p w14:paraId="5CBF9A74" w14:textId="277012C5" w:rsidR="00512ECD" w:rsidRPr="00AE2683" w:rsidRDefault="00B77353" w:rsidP="003F6E14">
      <w:pPr>
        <w:rPr>
          <w:rFonts w:cs="Arial"/>
          <w:b/>
          <w:szCs w:val="20"/>
        </w:rPr>
      </w:pPr>
      <w:r>
        <w:rPr>
          <w:noProof/>
          <w:lang w:val="de-AT" w:eastAsia="de-AT"/>
        </w:rPr>
        <w:lastRenderedPageBreak/>
        <w:drawing>
          <wp:inline distT="0" distB="0" distL="0" distR="0" wp14:anchorId="118CCE36" wp14:editId="44F25F22">
            <wp:extent cx="1441450" cy="1840621"/>
            <wp:effectExtent l="0" t="0" r="6350" b="762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email">
                      <a:extLst>
                        <a:ext uri="{28A0092B-C50C-407E-A947-70E740481C1C}">
                          <a14:useLocalDpi xmlns:a14="http://schemas.microsoft.com/office/drawing/2010/main"/>
                        </a:ext>
                      </a:extLst>
                    </a:blip>
                    <a:stretch>
                      <a:fillRect/>
                    </a:stretch>
                  </pic:blipFill>
                  <pic:spPr>
                    <a:xfrm>
                      <a:off x="0" y="0"/>
                      <a:ext cx="1450145" cy="1851724"/>
                    </a:xfrm>
                    <a:prstGeom prst="rect">
                      <a:avLst/>
                    </a:prstGeom>
                  </pic:spPr>
                </pic:pic>
              </a:graphicData>
            </a:graphic>
          </wp:inline>
        </w:drawing>
      </w:r>
    </w:p>
    <w:p w14:paraId="3D954B5A" w14:textId="77777777" w:rsidR="00512ECD" w:rsidRPr="00D358E5" w:rsidRDefault="00FC3AF3" w:rsidP="003F6E14">
      <w:pPr>
        <w:rPr>
          <w:rFonts w:cs="Arial"/>
          <w:szCs w:val="20"/>
        </w:rPr>
      </w:pPr>
      <w:r>
        <w:rPr>
          <w:b/>
          <w:szCs w:val="20"/>
        </w:rPr>
        <w:t xml:space="preserve">Imagem 3: </w:t>
      </w:r>
      <w:r>
        <w:t>A refrigeração melhorada da tocha do sistema TPS/i TWIN Push permite uma longa vida útil das peças de desgaste.</w:t>
      </w:r>
    </w:p>
    <w:p w14:paraId="23789529" w14:textId="77777777" w:rsidR="00512ECD" w:rsidRPr="00B02242" w:rsidRDefault="00512ECD" w:rsidP="003F6E14">
      <w:pPr>
        <w:rPr>
          <w:rFonts w:cs="Arial"/>
          <w:b/>
          <w:szCs w:val="20"/>
        </w:rPr>
      </w:pPr>
    </w:p>
    <w:p w14:paraId="63FF1B16" w14:textId="3FFE1C79" w:rsidR="00FC3AF3" w:rsidRDefault="00B77353" w:rsidP="003F6E14">
      <w:pPr>
        <w:rPr>
          <w:rFonts w:cs="Arial"/>
          <w:b/>
          <w:szCs w:val="20"/>
        </w:rPr>
      </w:pPr>
      <w:r>
        <w:rPr>
          <w:noProof/>
          <w:lang w:val="de-AT" w:eastAsia="de-AT"/>
        </w:rPr>
        <w:drawing>
          <wp:inline distT="0" distB="0" distL="0" distR="0" wp14:anchorId="12971298" wp14:editId="78C47AF1">
            <wp:extent cx="2018931" cy="1428750"/>
            <wp:effectExtent l="0" t="0" r="635"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email">
                      <a:extLst>
                        <a:ext uri="{28A0092B-C50C-407E-A947-70E740481C1C}">
                          <a14:useLocalDpi xmlns:a14="http://schemas.microsoft.com/office/drawing/2010/main"/>
                        </a:ext>
                      </a:extLst>
                    </a:blip>
                    <a:stretch>
                      <a:fillRect/>
                    </a:stretch>
                  </pic:blipFill>
                  <pic:spPr>
                    <a:xfrm>
                      <a:off x="0" y="0"/>
                      <a:ext cx="2026800" cy="1434319"/>
                    </a:xfrm>
                    <a:prstGeom prst="rect">
                      <a:avLst/>
                    </a:prstGeom>
                  </pic:spPr>
                </pic:pic>
              </a:graphicData>
            </a:graphic>
          </wp:inline>
        </w:drawing>
      </w:r>
    </w:p>
    <w:p w14:paraId="4CBF08FD" w14:textId="08F86801" w:rsidR="00FC3AF3" w:rsidRPr="00D358E5" w:rsidRDefault="00FC3AF3" w:rsidP="00D358E5">
      <w:pPr>
        <w:rPr>
          <w:rFonts w:cs="Arial"/>
          <w:szCs w:val="20"/>
        </w:rPr>
      </w:pPr>
      <w:r>
        <w:rPr>
          <w:b/>
          <w:szCs w:val="20"/>
        </w:rPr>
        <w:t xml:space="preserve">Imagem 4: </w:t>
      </w:r>
      <w:r>
        <w:t>O sistema de soldagem TPS/i TWIN Push consiste em duas fontes de solda TPS/i potentes, TWIN Controller, um avanço de arame compacto, refrigeração, jogos de mangueira e tocha de solda TWIN. A nova estação de limpeza da tocha de solda Robacta TSS/i TorchServiceStation e a estação de troca da tocha de solda TWIN completam o sistema.</w:t>
      </w:r>
    </w:p>
    <w:p w14:paraId="57C89E43" w14:textId="77777777" w:rsidR="00FC3AF3" w:rsidRPr="00B02242" w:rsidRDefault="00FC3AF3" w:rsidP="003F6E14">
      <w:pPr>
        <w:rPr>
          <w:rFonts w:cs="Arial"/>
          <w:b/>
          <w:szCs w:val="20"/>
        </w:rPr>
      </w:pPr>
    </w:p>
    <w:p w14:paraId="689B9973" w14:textId="77777777" w:rsidR="00B02242" w:rsidRPr="00B02242" w:rsidRDefault="00B02242" w:rsidP="003F6E14">
      <w:pPr>
        <w:rPr>
          <w:rFonts w:cs="Arial"/>
          <w:b/>
          <w:szCs w:val="20"/>
        </w:rPr>
      </w:pPr>
      <w:bookmarkStart w:id="0" w:name="_GoBack"/>
      <w:bookmarkEnd w:id="0"/>
    </w:p>
    <w:p w14:paraId="75DE6B51" w14:textId="77777777" w:rsidR="00B02242" w:rsidRPr="003F4085" w:rsidRDefault="00B02242" w:rsidP="00B02242">
      <w:pPr>
        <w:rPr>
          <w:rFonts w:cs="Arial"/>
          <w:szCs w:val="20"/>
        </w:rPr>
      </w:pPr>
      <w:r w:rsidRPr="003F4085">
        <w:rPr>
          <w:rFonts w:cs="Arial"/>
          <w:szCs w:val="20"/>
        </w:rPr>
        <w:t>Fotos: Fronius International GmbH, impressão gratuita</w:t>
      </w:r>
    </w:p>
    <w:p w14:paraId="70C7E840" w14:textId="77777777" w:rsidR="00B02242" w:rsidRPr="003F4085" w:rsidRDefault="00B02242" w:rsidP="00B02242">
      <w:pPr>
        <w:rPr>
          <w:rFonts w:cs="Arial"/>
          <w:szCs w:val="20"/>
        </w:rPr>
      </w:pPr>
    </w:p>
    <w:p w14:paraId="4025D9C2" w14:textId="77777777" w:rsidR="00B02242" w:rsidRPr="003F4085" w:rsidRDefault="00B02242" w:rsidP="00B02242">
      <w:pPr>
        <w:rPr>
          <w:rFonts w:cs="Arial"/>
          <w:szCs w:val="20"/>
        </w:rPr>
      </w:pPr>
      <w:r w:rsidRPr="003F4085">
        <w:rPr>
          <w:rFonts w:cs="Arial"/>
          <w:szCs w:val="20"/>
        </w:rPr>
        <w:t>O download das imagens em alta resolução pode ser realizado através do seguinte link:</w:t>
      </w:r>
    </w:p>
    <w:p w14:paraId="071FC0B8" w14:textId="77777777" w:rsidR="00B02242" w:rsidRPr="003F4085" w:rsidRDefault="00B02242" w:rsidP="00B02242">
      <w:pPr>
        <w:rPr>
          <w:rFonts w:cs="Arial"/>
          <w:szCs w:val="20"/>
          <w:lang w:val="cs-CZ" w:eastAsia="cs-CZ" w:bidi="cs-CZ"/>
        </w:rPr>
      </w:pPr>
      <w:hyperlink r:id="rId18" w:history="1">
        <w:r w:rsidRPr="003F4085">
          <w:rPr>
            <w:rStyle w:val="Hyperlink"/>
            <w:rFonts w:cs="Arial"/>
            <w:iCs/>
            <w:snapToGrid w:val="0"/>
            <w:szCs w:val="20"/>
          </w:rPr>
          <w:t>www.fronius.com/en/welding-technology/infocentre/press</w:t>
        </w:r>
      </w:hyperlink>
    </w:p>
    <w:p w14:paraId="68311321" w14:textId="77777777" w:rsidR="00B02242" w:rsidRPr="003F4085" w:rsidRDefault="00B02242" w:rsidP="00B02242">
      <w:pPr>
        <w:rPr>
          <w:rFonts w:cs="Arial"/>
          <w:b/>
          <w:szCs w:val="20"/>
        </w:rPr>
      </w:pPr>
    </w:p>
    <w:p w14:paraId="3DB7D359" w14:textId="77777777" w:rsidR="00B02242" w:rsidRDefault="00B02242" w:rsidP="00B02242">
      <w:pPr>
        <w:rPr>
          <w:rFonts w:cs="Arial"/>
          <w:b/>
          <w:szCs w:val="20"/>
        </w:rPr>
      </w:pPr>
    </w:p>
    <w:p w14:paraId="5097BF88" w14:textId="77777777" w:rsidR="00B02242" w:rsidRPr="003F4085" w:rsidRDefault="00B02242" w:rsidP="00B02242">
      <w:pPr>
        <w:rPr>
          <w:rFonts w:cs="Arial"/>
          <w:b/>
          <w:szCs w:val="20"/>
        </w:rPr>
      </w:pPr>
    </w:p>
    <w:p w14:paraId="5033C88F" w14:textId="77777777" w:rsidR="00B02242" w:rsidRPr="003F4085" w:rsidRDefault="00B02242" w:rsidP="00B02242">
      <w:pPr>
        <w:rPr>
          <w:rFonts w:cs="Arial"/>
          <w:b/>
          <w:szCs w:val="20"/>
        </w:rPr>
      </w:pPr>
    </w:p>
    <w:p w14:paraId="6DA1FDDF" w14:textId="77777777" w:rsidR="00B02242" w:rsidRPr="003F4085" w:rsidRDefault="00B02242" w:rsidP="00B02242">
      <w:pPr>
        <w:rPr>
          <w:rFonts w:cs="Arial"/>
          <w:b/>
          <w:szCs w:val="20"/>
        </w:rPr>
      </w:pPr>
      <w:r w:rsidRPr="003F4085">
        <w:rPr>
          <w:rFonts w:cs="Arial"/>
          <w:b/>
          <w:szCs w:val="20"/>
        </w:rPr>
        <w:t>Unidade de Negócios Perfect Welding</w:t>
      </w:r>
    </w:p>
    <w:p w14:paraId="7A9551BD" w14:textId="77777777" w:rsidR="00B02242" w:rsidRDefault="00B02242" w:rsidP="00B02242">
      <w:pPr>
        <w:rPr>
          <w:rFonts w:cs="Arial"/>
          <w:szCs w:val="20"/>
        </w:rPr>
      </w:pPr>
      <w:r w:rsidRPr="003F4085">
        <w:rPr>
          <w:rFonts w:cs="Arial"/>
          <w:szCs w:val="20"/>
        </w:rPr>
        <w:t xml:space="preserve">A Fronius Perfect Welding é a líder em inovação em solda por arco voltaico e solda a ponto e também a líder global em soldagem robotizada. Como fornecedor de sistemas, o setor Fronius Welding Automation também realiza soluções personalizadas completas para soldagem </w:t>
      </w:r>
      <w:r w:rsidRPr="00A17679">
        <w:rPr>
          <w:rFonts w:cs="Arial"/>
          <w:szCs w:val="20"/>
        </w:rPr>
        <w:t>automatizada, por exemplo, soluções customizadas de acordo com a necessidade e tipo de peça que o cliente produz. Fontes</w:t>
      </w:r>
      <w:r w:rsidRPr="003F4085">
        <w:rPr>
          <w:rFonts w:cs="Arial"/>
          <w:szCs w:val="20"/>
        </w:rPr>
        <w:t xml:space="preserve"> de solda para aplicação manual, acessórios de solda</w:t>
      </w:r>
      <w:r>
        <w:rPr>
          <w:rFonts w:cs="Arial"/>
          <w:szCs w:val="20"/>
        </w:rPr>
        <w:t xml:space="preserve"> </w:t>
      </w:r>
      <w:r w:rsidRPr="003F4085">
        <w:rPr>
          <w:rFonts w:cs="Arial"/>
          <w:szCs w:val="20"/>
        </w:rPr>
        <w:t xml:space="preserve">e uma ampla gama de serviços completam o portfólio. Com mais de 1.000 distribuidores ao redor do mundo, a Fronius Perfect Welding está sempre próxima dos clientes. </w:t>
      </w:r>
    </w:p>
    <w:p w14:paraId="4D6DB812" w14:textId="77777777" w:rsidR="00B02242" w:rsidRPr="003F4085" w:rsidRDefault="00B02242" w:rsidP="00B02242">
      <w:pPr>
        <w:rPr>
          <w:rFonts w:cs="Arial"/>
          <w:szCs w:val="20"/>
        </w:rPr>
      </w:pPr>
    </w:p>
    <w:p w14:paraId="053B607C" w14:textId="77777777" w:rsidR="00B02242" w:rsidRPr="003F4085" w:rsidRDefault="00B02242" w:rsidP="00B02242">
      <w:pPr>
        <w:rPr>
          <w:rFonts w:cs="Arial"/>
          <w:b/>
          <w:szCs w:val="20"/>
          <w:lang w:val="de-DE"/>
        </w:rPr>
      </w:pPr>
      <w:r w:rsidRPr="003F4085">
        <w:rPr>
          <w:rFonts w:cs="Arial"/>
          <w:b/>
          <w:szCs w:val="20"/>
          <w:lang w:val="de-DE"/>
        </w:rPr>
        <w:t>Fronius International GmbH</w:t>
      </w:r>
    </w:p>
    <w:p w14:paraId="51F135A2" w14:textId="77777777" w:rsidR="00B02242" w:rsidRPr="003F4085" w:rsidRDefault="00B02242" w:rsidP="00B02242">
      <w:pPr>
        <w:rPr>
          <w:rFonts w:cs="Arial"/>
          <w:szCs w:val="20"/>
        </w:rPr>
      </w:pPr>
      <w:r w:rsidRPr="003F4085">
        <w:rPr>
          <w:rFonts w:cs="Arial"/>
          <w:szCs w:val="20"/>
          <w:lang w:val="de-DE"/>
        </w:rPr>
        <w:t xml:space="preserve">A </w:t>
      </w:r>
      <w:proofErr w:type="spellStart"/>
      <w:r w:rsidRPr="003F4085">
        <w:rPr>
          <w:rFonts w:cs="Arial"/>
          <w:szCs w:val="20"/>
          <w:lang w:val="de-DE"/>
        </w:rPr>
        <w:t>Fronius</w:t>
      </w:r>
      <w:proofErr w:type="spellEnd"/>
      <w:r w:rsidRPr="003F4085">
        <w:rPr>
          <w:rFonts w:cs="Arial"/>
          <w:szCs w:val="20"/>
          <w:lang w:val="de-DE"/>
        </w:rPr>
        <w:t xml:space="preserve"> International é </w:t>
      </w:r>
      <w:proofErr w:type="spellStart"/>
      <w:r w:rsidRPr="003F4085">
        <w:rPr>
          <w:rFonts w:cs="Arial"/>
          <w:szCs w:val="20"/>
          <w:lang w:val="de-DE"/>
        </w:rPr>
        <w:t>uma</w:t>
      </w:r>
      <w:proofErr w:type="spellEnd"/>
      <w:r w:rsidRPr="003F4085">
        <w:rPr>
          <w:rFonts w:cs="Arial"/>
          <w:szCs w:val="20"/>
          <w:lang w:val="de-DE"/>
        </w:rPr>
        <w:t xml:space="preserve"> </w:t>
      </w:r>
      <w:proofErr w:type="spellStart"/>
      <w:r w:rsidRPr="003F4085">
        <w:rPr>
          <w:rFonts w:cs="Arial"/>
          <w:szCs w:val="20"/>
          <w:lang w:val="de-DE"/>
        </w:rPr>
        <w:t>empresa</w:t>
      </w:r>
      <w:proofErr w:type="spellEnd"/>
      <w:r w:rsidRPr="003F4085">
        <w:rPr>
          <w:rFonts w:cs="Arial"/>
          <w:szCs w:val="20"/>
          <w:lang w:val="de-DE"/>
        </w:rPr>
        <w:t xml:space="preserve"> </w:t>
      </w:r>
      <w:proofErr w:type="spellStart"/>
      <w:r w:rsidRPr="003F4085">
        <w:rPr>
          <w:rFonts w:cs="Arial"/>
          <w:szCs w:val="20"/>
          <w:lang w:val="de-DE"/>
        </w:rPr>
        <w:t>austríaca</w:t>
      </w:r>
      <w:proofErr w:type="spellEnd"/>
      <w:r w:rsidRPr="003F4085">
        <w:rPr>
          <w:rFonts w:cs="Arial"/>
          <w:szCs w:val="20"/>
          <w:lang w:val="de-DE"/>
        </w:rPr>
        <w:t xml:space="preserve"> </w:t>
      </w:r>
      <w:proofErr w:type="spellStart"/>
      <w:r w:rsidRPr="003F4085">
        <w:rPr>
          <w:rFonts w:cs="Arial"/>
          <w:szCs w:val="20"/>
          <w:lang w:val="de-DE"/>
        </w:rPr>
        <w:t>com</w:t>
      </w:r>
      <w:proofErr w:type="spellEnd"/>
      <w:r w:rsidRPr="003F4085">
        <w:rPr>
          <w:rFonts w:cs="Arial"/>
          <w:szCs w:val="20"/>
          <w:lang w:val="de-DE"/>
        </w:rPr>
        <w:t xml:space="preserve"> </w:t>
      </w:r>
      <w:proofErr w:type="spellStart"/>
      <w:r w:rsidRPr="003F4085">
        <w:rPr>
          <w:rFonts w:cs="Arial"/>
          <w:szCs w:val="20"/>
          <w:lang w:val="de-DE"/>
        </w:rPr>
        <w:t>sede</w:t>
      </w:r>
      <w:proofErr w:type="spellEnd"/>
      <w:r w:rsidRPr="003F4085">
        <w:rPr>
          <w:rFonts w:cs="Arial"/>
          <w:szCs w:val="20"/>
          <w:lang w:val="de-DE"/>
        </w:rPr>
        <w:t xml:space="preserve"> </w:t>
      </w:r>
      <w:proofErr w:type="spellStart"/>
      <w:r w:rsidRPr="003F4085">
        <w:rPr>
          <w:rFonts w:cs="Arial"/>
          <w:szCs w:val="20"/>
          <w:lang w:val="de-DE"/>
        </w:rPr>
        <w:t>em</w:t>
      </w:r>
      <w:proofErr w:type="spellEnd"/>
      <w:r w:rsidRPr="003F4085">
        <w:rPr>
          <w:rFonts w:cs="Arial"/>
          <w:szCs w:val="20"/>
          <w:lang w:val="de-DE"/>
        </w:rPr>
        <w:t xml:space="preserve"> </w:t>
      </w:r>
      <w:proofErr w:type="spellStart"/>
      <w:r w:rsidRPr="003F4085">
        <w:rPr>
          <w:rFonts w:cs="Arial"/>
          <w:szCs w:val="20"/>
          <w:lang w:val="de-DE"/>
        </w:rPr>
        <w:t>Pettenbach</w:t>
      </w:r>
      <w:proofErr w:type="spellEnd"/>
      <w:r w:rsidRPr="003F4085">
        <w:rPr>
          <w:rFonts w:cs="Arial"/>
          <w:szCs w:val="20"/>
          <w:lang w:val="de-DE"/>
        </w:rPr>
        <w:t xml:space="preserve"> e </w:t>
      </w:r>
      <w:proofErr w:type="spellStart"/>
      <w:r w:rsidRPr="003F4085">
        <w:rPr>
          <w:rFonts w:cs="Arial"/>
          <w:szCs w:val="20"/>
          <w:lang w:val="de-DE"/>
        </w:rPr>
        <w:t>outras</w:t>
      </w:r>
      <w:proofErr w:type="spellEnd"/>
      <w:r w:rsidRPr="003F4085">
        <w:rPr>
          <w:rFonts w:cs="Arial"/>
          <w:szCs w:val="20"/>
          <w:lang w:val="de-DE"/>
        </w:rPr>
        <w:t xml:space="preserve"> </w:t>
      </w:r>
      <w:proofErr w:type="spellStart"/>
      <w:r w:rsidRPr="003F4085">
        <w:rPr>
          <w:rFonts w:cs="Arial"/>
          <w:szCs w:val="20"/>
          <w:lang w:val="de-DE"/>
        </w:rPr>
        <w:t>unidades</w:t>
      </w:r>
      <w:proofErr w:type="spellEnd"/>
      <w:r w:rsidRPr="003F4085">
        <w:rPr>
          <w:rFonts w:cs="Arial"/>
          <w:szCs w:val="20"/>
          <w:lang w:val="de-DE"/>
        </w:rPr>
        <w:t xml:space="preserve"> </w:t>
      </w:r>
      <w:proofErr w:type="spellStart"/>
      <w:r w:rsidRPr="003F4085">
        <w:rPr>
          <w:rFonts w:cs="Arial"/>
          <w:szCs w:val="20"/>
          <w:lang w:val="de-DE"/>
        </w:rPr>
        <w:t>em</w:t>
      </w:r>
      <w:proofErr w:type="spellEnd"/>
      <w:r w:rsidRPr="003F4085">
        <w:rPr>
          <w:rFonts w:cs="Arial"/>
          <w:szCs w:val="20"/>
          <w:lang w:val="de-DE"/>
        </w:rPr>
        <w:t xml:space="preserve"> Wels, Thalheim, Steinhaus e </w:t>
      </w:r>
      <w:proofErr w:type="spellStart"/>
      <w:r w:rsidRPr="003F4085">
        <w:rPr>
          <w:rFonts w:cs="Arial"/>
          <w:szCs w:val="20"/>
          <w:lang w:val="de-DE"/>
        </w:rPr>
        <w:t>Sattledt</w:t>
      </w:r>
      <w:proofErr w:type="spellEnd"/>
      <w:r w:rsidRPr="003F4085">
        <w:rPr>
          <w:rFonts w:cs="Arial"/>
          <w:szCs w:val="20"/>
          <w:lang w:val="de-DE"/>
        </w:rPr>
        <w:t xml:space="preserve">. </w:t>
      </w:r>
      <w:r w:rsidRPr="003F4085">
        <w:rPr>
          <w:rFonts w:cs="Arial"/>
          <w:szCs w:val="20"/>
        </w:rPr>
        <w:t xml:space="preserve">A empresa com </w:t>
      </w:r>
      <w:r>
        <w:rPr>
          <w:rFonts w:cs="Arial"/>
          <w:szCs w:val="20"/>
          <w:lang w:val="en-US"/>
        </w:rPr>
        <w:t>4.760</w:t>
      </w:r>
      <w:r w:rsidRPr="00C81730">
        <w:rPr>
          <w:rFonts w:cs="Arial"/>
          <w:szCs w:val="20"/>
          <w:lang w:val="en-US"/>
        </w:rPr>
        <w:t xml:space="preserve"> </w:t>
      </w:r>
      <w:r w:rsidRPr="003F4085">
        <w:rPr>
          <w:rFonts w:cs="Arial"/>
          <w:szCs w:val="20"/>
        </w:rPr>
        <w:t>funcionários no mundo todo trabalha nas áreas de tecnologia de soldagem, sistemas fotovoltaicos e tecnologia de carregamento de baterias. A cota de exportação de quase</w:t>
      </w:r>
      <w:r>
        <w:rPr>
          <w:rFonts w:cs="Arial"/>
          <w:szCs w:val="20"/>
        </w:rPr>
        <w:t xml:space="preserve"> 92 por cento é realizada com 30</w:t>
      </w:r>
      <w:r w:rsidRPr="003F4085">
        <w:rPr>
          <w:rFonts w:cs="Arial"/>
          <w:szCs w:val="20"/>
        </w:rPr>
        <w:t xml:space="preserve"> companhias internacionais da Fronius e distribuidores/representantes em mais de 60 países. Com produt</w:t>
      </w:r>
      <w:r>
        <w:rPr>
          <w:rFonts w:cs="Arial"/>
          <w:szCs w:val="20"/>
        </w:rPr>
        <w:t>os e serviços inovadores e 1.253</w:t>
      </w:r>
      <w:r w:rsidRPr="003F4085">
        <w:rPr>
          <w:rFonts w:cs="Arial"/>
          <w:szCs w:val="20"/>
        </w:rPr>
        <w:t xml:space="preserve"> patentes concedidas, a Fronius é líder de inovações no mercado mundial.</w:t>
      </w:r>
    </w:p>
    <w:p w14:paraId="2DA377B9" w14:textId="77777777" w:rsidR="00B02242" w:rsidRPr="003F4085" w:rsidRDefault="00B02242" w:rsidP="00B02242">
      <w:pPr>
        <w:rPr>
          <w:rFonts w:cs="Arial"/>
          <w:szCs w:val="20"/>
        </w:rPr>
      </w:pPr>
    </w:p>
    <w:p w14:paraId="7334AEF3" w14:textId="77777777" w:rsidR="00B02242" w:rsidRPr="003F4085" w:rsidRDefault="00B02242" w:rsidP="00B02242">
      <w:pPr>
        <w:pStyle w:val="Textkrper2"/>
        <w:spacing w:after="0" w:line="240" w:lineRule="auto"/>
        <w:ind w:right="29"/>
        <w:rPr>
          <w:rFonts w:cs="Arial"/>
          <w:i/>
          <w:szCs w:val="20"/>
          <w:lang w:val="cs-CZ"/>
        </w:rPr>
      </w:pPr>
    </w:p>
    <w:p w14:paraId="472889B4" w14:textId="77777777" w:rsidR="00B02242" w:rsidRPr="003F4085" w:rsidRDefault="00B02242" w:rsidP="00B02242">
      <w:pPr>
        <w:pStyle w:val="Textkrper2"/>
        <w:spacing w:after="0" w:line="240" w:lineRule="auto"/>
        <w:ind w:right="29"/>
        <w:rPr>
          <w:rFonts w:cs="Arial"/>
          <w:i/>
          <w:szCs w:val="20"/>
          <w:lang w:val="cs-CZ"/>
        </w:rPr>
      </w:pPr>
    </w:p>
    <w:p w14:paraId="793787BE" w14:textId="77777777" w:rsidR="00B02242" w:rsidRPr="003F4085" w:rsidRDefault="00B02242" w:rsidP="00B02242">
      <w:pPr>
        <w:pStyle w:val="Textkrper2"/>
        <w:spacing w:after="0" w:line="240" w:lineRule="auto"/>
        <w:ind w:right="29"/>
        <w:rPr>
          <w:rFonts w:cs="Arial"/>
          <w:i/>
          <w:szCs w:val="20"/>
          <w:lang w:val="es-ES"/>
        </w:rPr>
      </w:pPr>
    </w:p>
    <w:p w14:paraId="625F7D8E" w14:textId="77777777" w:rsidR="00B02242" w:rsidRPr="003F4085" w:rsidRDefault="00B02242" w:rsidP="00B02242">
      <w:pPr>
        <w:rPr>
          <w:rFonts w:cs="Arial"/>
          <w:szCs w:val="20"/>
        </w:rPr>
      </w:pPr>
      <w:r w:rsidRPr="003F4085">
        <w:rPr>
          <w:rFonts w:cs="Arial"/>
          <w:b/>
          <w:szCs w:val="20"/>
        </w:rPr>
        <w:lastRenderedPageBreak/>
        <w:t>Para mais informações, contate:</w:t>
      </w:r>
      <w:r w:rsidRPr="003F4085">
        <w:rPr>
          <w:rFonts w:cs="Arial"/>
          <w:b/>
          <w:szCs w:val="20"/>
        </w:rPr>
        <w:br/>
      </w:r>
      <w:r w:rsidRPr="003F4085">
        <w:rPr>
          <w:rFonts w:cs="Arial"/>
          <w:szCs w:val="20"/>
        </w:rPr>
        <w:t xml:space="preserve">FRONIUS DO BRASIL Comércio, Indústria e Serviços Ltda, </w:t>
      </w:r>
    </w:p>
    <w:p w14:paraId="0460A268" w14:textId="77777777" w:rsidR="00B02242" w:rsidRPr="003F4085" w:rsidRDefault="00B02242" w:rsidP="00B02242">
      <w:pPr>
        <w:rPr>
          <w:rFonts w:cs="Arial"/>
          <w:szCs w:val="20"/>
        </w:rPr>
      </w:pPr>
      <w:r w:rsidRPr="003F4085">
        <w:rPr>
          <w:rFonts w:cs="Arial"/>
          <w:szCs w:val="20"/>
        </w:rPr>
        <w:t>Divisão de Soldagem Analista de Importação, Sra. Thais Bitencourt,</w:t>
      </w:r>
    </w:p>
    <w:p w14:paraId="0A431FE4" w14:textId="77777777" w:rsidR="00B02242" w:rsidRPr="003F4085" w:rsidRDefault="00B02242" w:rsidP="00B02242">
      <w:pPr>
        <w:rPr>
          <w:rFonts w:cs="Arial"/>
          <w:szCs w:val="20"/>
        </w:rPr>
      </w:pPr>
      <w:r w:rsidRPr="003F4085">
        <w:rPr>
          <w:rFonts w:cs="Arial"/>
          <w:szCs w:val="20"/>
        </w:rPr>
        <w:t>Av.Dr. Ulysses Guimarães, 3389 - Galpão 4 - Vl Nogueira</w:t>
      </w:r>
    </w:p>
    <w:p w14:paraId="4C2B1278" w14:textId="77777777" w:rsidR="00B02242" w:rsidRPr="003F4085" w:rsidRDefault="00B02242" w:rsidP="00B02242">
      <w:pPr>
        <w:rPr>
          <w:rFonts w:cs="Arial"/>
          <w:szCs w:val="20"/>
        </w:rPr>
      </w:pPr>
      <w:r w:rsidRPr="003F4085">
        <w:rPr>
          <w:rFonts w:cs="Arial"/>
          <w:szCs w:val="20"/>
        </w:rPr>
        <w:t xml:space="preserve">CEP 09990-080 – Diadema, Tel. +55(11)3563/3803, </w:t>
      </w:r>
    </w:p>
    <w:p w14:paraId="2B70589E" w14:textId="77777777" w:rsidR="00B02242" w:rsidRPr="003F4085" w:rsidRDefault="00B02242" w:rsidP="00B02242">
      <w:pPr>
        <w:rPr>
          <w:rFonts w:cs="Arial"/>
          <w:szCs w:val="20"/>
        </w:rPr>
      </w:pPr>
      <w:r w:rsidRPr="003F4085">
        <w:rPr>
          <w:rFonts w:cs="Arial"/>
          <w:szCs w:val="20"/>
        </w:rPr>
        <w:t xml:space="preserve">E-Mail: </w:t>
      </w:r>
      <w:hyperlink r:id="rId19" w:history="1">
        <w:r w:rsidRPr="003F4085">
          <w:rPr>
            <w:rStyle w:val="Hyperlink"/>
            <w:rFonts w:cs="Arial"/>
            <w:szCs w:val="20"/>
          </w:rPr>
          <w:t>Bitencourt.Thais@fronius.com</w:t>
        </w:r>
      </w:hyperlink>
    </w:p>
    <w:p w14:paraId="100462C5" w14:textId="77777777" w:rsidR="00B02242" w:rsidRPr="003F4085" w:rsidRDefault="00B02242" w:rsidP="00B02242">
      <w:pPr>
        <w:pStyle w:val="Textkrper2"/>
        <w:spacing w:after="0" w:line="240" w:lineRule="auto"/>
        <w:ind w:right="29"/>
        <w:rPr>
          <w:rFonts w:cs="Arial"/>
          <w:szCs w:val="20"/>
        </w:rPr>
      </w:pPr>
    </w:p>
    <w:p w14:paraId="134DC9FB" w14:textId="77777777" w:rsidR="00B02242" w:rsidRPr="003F4085" w:rsidRDefault="00B02242" w:rsidP="00B02242">
      <w:pPr>
        <w:pStyle w:val="Textkrper2"/>
        <w:spacing w:after="0" w:line="240" w:lineRule="auto"/>
        <w:ind w:right="29"/>
        <w:rPr>
          <w:rFonts w:cs="Arial"/>
          <w:szCs w:val="20"/>
        </w:rPr>
      </w:pPr>
    </w:p>
    <w:p w14:paraId="2A4A4E51" w14:textId="77777777" w:rsidR="00B02242" w:rsidRPr="003F4085" w:rsidRDefault="00B02242" w:rsidP="00B02242">
      <w:pPr>
        <w:pStyle w:val="Textkrper2"/>
        <w:spacing w:after="0" w:line="240" w:lineRule="auto"/>
        <w:ind w:right="29"/>
        <w:rPr>
          <w:rFonts w:cs="Arial"/>
          <w:b/>
          <w:szCs w:val="20"/>
        </w:rPr>
      </w:pPr>
      <w:r w:rsidRPr="003F4085">
        <w:rPr>
          <w:rFonts w:cs="Arial"/>
          <w:b/>
          <w:szCs w:val="20"/>
        </w:rPr>
        <w:t>Envie um exemplar para a nossa agência:</w:t>
      </w:r>
    </w:p>
    <w:p w14:paraId="7FAB52BD" w14:textId="77777777" w:rsidR="00B02242" w:rsidRPr="003F4085" w:rsidRDefault="00B02242" w:rsidP="00B02242">
      <w:pPr>
        <w:pStyle w:val="Textkrper2"/>
        <w:spacing w:after="0" w:line="240" w:lineRule="auto"/>
        <w:ind w:right="29"/>
        <w:rPr>
          <w:rFonts w:cs="Arial"/>
          <w:szCs w:val="20"/>
          <w:lang w:val="de-DE"/>
        </w:rPr>
      </w:pPr>
      <w:r w:rsidRPr="003F4085">
        <w:rPr>
          <w:rFonts w:cs="Arial"/>
          <w:szCs w:val="20"/>
          <w:lang w:val="de-DE"/>
        </w:rPr>
        <w:t>a1kommunikation Schweizer GmbH, Senhora Kirsten Ludwig,</w:t>
      </w:r>
    </w:p>
    <w:p w14:paraId="6A920A47" w14:textId="77777777" w:rsidR="00B02242" w:rsidRPr="003F4085" w:rsidRDefault="00B02242" w:rsidP="00B02242">
      <w:pPr>
        <w:pStyle w:val="Textkrper2"/>
        <w:spacing w:after="0" w:line="240" w:lineRule="auto"/>
        <w:ind w:right="29"/>
        <w:rPr>
          <w:rFonts w:cs="Arial"/>
          <w:szCs w:val="20"/>
          <w:lang w:val="de-DE"/>
        </w:rPr>
      </w:pPr>
      <w:r w:rsidRPr="003F4085">
        <w:rPr>
          <w:rFonts w:cs="Arial"/>
          <w:szCs w:val="20"/>
          <w:lang w:val="de-DE"/>
        </w:rPr>
        <w:t>Oberdorfstraße 31 A, D – 70794 Filderstadt,</w:t>
      </w:r>
    </w:p>
    <w:p w14:paraId="7FA13C1A" w14:textId="77777777" w:rsidR="00B02242" w:rsidRPr="003F4085" w:rsidRDefault="00B02242" w:rsidP="00B02242">
      <w:pPr>
        <w:pStyle w:val="Textkrper2"/>
        <w:spacing w:after="0" w:line="240" w:lineRule="auto"/>
        <w:ind w:right="29"/>
        <w:rPr>
          <w:rFonts w:cs="Arial"/>
          <w:szCs w:val="20"/>
          <w:lang w:val="de-DE"/>
        </w:rPr>
      </w:pPr>
      <w:r w:rsidRPr="003F4085">
        <w:rPr>
          <w:rFonts w:cs="Arial"/>
          <w:szCs w:val="20"/>
          <w:lang w:val="de-DE"/>
        </w:rPr>
        <w:t xml:space="preserve">Tel.: +49 (0)711 9454161-2, </w:t>
      </w:r>
      <w:proofErr w:type="spellStart"/>
      <w:r w:rsidRPr="003F4085">
        <w:rPr>
          <w:rFonts w:cs="Arial"/>
          <w:szCs w:val="20"/>
          <w:lang w:val="de-DE"/>
        </w:rPr>
        <w:t>E-mail</w:t>
      </w:r>
      <w:proofErr w:type="spellEnd"/>
      <w:r w:rsidRPr="003F4085">
        <w:rPr>
          <w:rFonts w:cs="Arial"/>
          <w:szCs w:val="20"/>
          <w:lang w:val="de-DE"/>
        </w:rPr>
        <w:t xml:space="preserve">: </w:t>
      </w:r>
      <w:hyperlink r:id="rId20">
        <w:r w:rsidRPr="003F4085">
          <w:rPr>
            <w:rStyle w:val="Hyperlink"/>
            <w:rFonts w:cs="Arial"/>
            <w:szCs w:val="20"/>
            <w:lang w:val="de-DE"/>
          </w:rPr>
          <w:t>Kirsten.Ludwig@a1kommunikation.de</w:t>
        </w:r>
      </w:hyperlink>
    </w:p>
    <w:p w14:paraId="678BAA61" w14:textId="77777777" w:rsidR="00B02242" w:rsidRPr="00C933AF" w:rsidRDefault="00B02242" w:rsidP="00B02242">
      <w:pPr>
        <w:rPr>
          <w:rFonts w:cs="Arial"/>
          <w:szCs w:val="20"/>
          <w:lang w:val="de-DE"/>
        </w:rPr>
      </w:pPr>
    </w:p>
    <w:p w14:paraId="74142BAB" w14:textId="77777777" w:rsidR="00B02242" w:rsidRPr="00C933AF" w:rsidRDefault="00B02242" w:rsidP="00B02242">
      <w:pPr>
        <w:rPr>
          <w:rFonts w:cs="Arial"/>
          <w:szCs w:val="20"/>
        </w:rPr>
      </w:pPr>
    </w:p>
    <w:p w14:paraId="44DC368F" w14:textId="77777777" w:rsidR="00B02242" w:rsidRPr="00C933AF" w:rsidRDefault="00B02242" w:rsidP="00B02242">
      <w:pPr>
        <w:rPr>
          <w:rFonts w:cs="Arial"/>
          <w:vanish/>
          <w:szCs w:val="20"/>
        </w:rPr>
      </w:pPr>
      <w:r w:rsidRPr="00C933AF">
        <w:rPr>
          <w:rFonts w:cs="Arial"/>
          <w:szCs w:val="20"/>
        </w:rPr>
        <w:t>Para procurar outras contribuições, acesse nosso blog em blog.perfectwelding.fronius.com e siga nos no Facebook (froniuswelding), Twitter (froniusintweld), LinkedIn (perfect-welding), Instagram (froniuswelding) e YouTube (froniuswelding)!</w:t>
      </w:r>
      <w:r w:rsidRPr="00C933AF">
        <w:rPr>
          <w:rFonts w:cs="Arial"/>
          <w:vanish/>
          <w:szCs w:val="20"/>
        </w:rPr>
        <w:t>Fronius International GmbH</w:t>
      </w:r>
    </w:p>
    <w:p w14:paraId="4F25D41B" w14:textId="77777777" w:rsidR="00B02242" w:rsidRPr="00C933AF" w:rsidRDefault="00B02242" w:rsidP="00B02242">
      <w:pPr>
        <w:rPr>
          <w:rFonts w:cs="Arial"/>
          <w:vanish/>
          <w:szCs w:val="20"/>
        </w:rPr>
      </w:pPr>
    </w:p>
    <w:p w14:paraId="7946E693" w14:textId="77777777" w:rsidR="00B02242" w:rsidRPr="00C933AF" w:rsidRDefault="00B02242" w:rsidP="00B02242">
      <w:pPr>
        <w:rPr>
          <w:rFonts w:cs="Arial"/>
          <w:i/>
          <w:vanish/>
          <w:szCs w:val="20"/>
        </w:rPr>
      </w:pPr>
      <w:r w:rsidRPr="00C933AF">
        <w:rPr>
          <w:rFonts w:cs="Arial"/>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30087C48" w14:textId="77777777" w:rsidR="00B02242" w:rsidRPr="00C933AF" w:rsidRDefault="00B02242" w:rsidP="00B02242">
      <w:pPr>
        <w:rPr>
          <w:rFonts w:cs="Arial"/>
          <w:i/>
          <w:vanish/>
          <w:szCs w:val="20"/>
        </w:rPr>
      </w:pPr>
    </w:p>
    <w:p w14:paraId="509498C4" w14:textId="77777777" w:rsidR="00B02242" w:rsidRPr="00C933AF" w:rsidRDefault="00B02242" w:rsidP="00B02242">
      <w:pPr>
        <w:rPr>
          <w:rFonts w:cs="Arial"/>
          <w:vanish/>
          <w:szCs w:val="20"/>
        </w:rPr>
      </w:pPr>
    </w:p>
    <w:p w14:paraId="6FB58366" w14:textId="77777777" w:rsidR="00B02242" w:rsidRPr="00C933AF" w:rsidRDefault="00B02242" w:rsidP="00B02242">
      <w:pPr>
        <w:rPr>
          <w:rFonts w:cs="Arial"/>
          <w:vanish/>
          <w:szCs w:val="20"/>
        </w:rPr>
      </w:pPr>
    </w:p>
    <w:p w14:paraId="217EC4FC" w14:textId="77777777" w:rsidR="00B02242" w:rsidRPr="00C933AF" w:rsidRDefault="00B02242" w:rsidP="00B02242">
      <w:pPr>
        <w:rPr>
          <w:rFonts w:cs="Arial"/>
          <w:vanish/>
          <w:szCs w:val="20"/>
        </w:rPr>
      </w:pPr>
      <w:r w:rsidRPr="00C933AF">
        <w:rPr>
          <w:rFonts w:cs="Arial"/>
          <w:vanish/>
          <w:szCs w:val="20"/>
        </w:rPr>
        <w:t>Diese Presseinformation sowie die Bilder stehen für Sie zum Download im Internet zur Verfügung:</w:t>
      </w:r>
    </w:p>
    <w:p w14:paraId="1757C4CD" w14:textId="77777777" w:rsidR="00B02242" w:rsidRPr="00C933AF" w:rsidRDefault="00B02242" w:rsidP="00B02242">
      <w:pPr>
        <w:rPr>
          <w:rFonts w:cs="Arial"/>
          <w:vanish/>
          <w:szCs w:val="20"/>
        </w:rPr>
      </w:pPr>
      <w:hyperlink r:id="rId21" w:history="1">
        <w:r w:rsidRPr="00C933AF">
          <w:rPr>
            <w:rFonts w:cs="Arial"/>
            <w:vanish/>
            <w:color w:val="0000FF"/>
            <w:szCs w:val="20"/>
            <w:u w:val="single"/>
          </w:rPr>
          <w:t>www.fronius.com/de/schweisstechnik/infocenter/presse</w:t>
        </w:r>
      </w:hyperlink>
    </w:p>
    <w:p w14:paraId="1D25AA5E" w14:textId="77777777" w:rsidR="00B02242" w:rsidRPr="00C933AF" w:rsidRDefault="00B02242" w:rsidP="00B02242">
      <w:pPr>
        <w:rPr>
          <w:rFonts w:cs="Arial"/>
          <w:vanish/>
          <w:szCs w:val="20"/>
        </w:rPr>
      </w:pPr>
    </w:p>
    <w:p w14:paraId="49058CF9" w14:textId="77777777" w:rsidR="00B02242" w:rsidRPr="00C933AF" w:rsidRDefault="00B02242" w:rsidP="00B02242">
      <w:pPr>
        <w:rPr>
          <w:rFonts w:cs="Arial"/>
          <w:vanish/>
          <w:szCs w:val="20"/>
        </w:rPr>
      </w:pPr>
    </w:p>
    <w:p w14:paraId="74FE0877" w14:textId="77777777" w:rsidR="00B02242" w:rsidRPr="00C933AF" w:rsidRDefault="00B02242" w:rsidP="00B02242">
      <w:pPr>
        <w:rPr>
          <w:rFonts w:cs="Arial"/>
          <w:szCs w:val="20"/>
        </w:rPr>
      </w:pPr>
    </w:p>
    <w:p w14:paraId="4B9D9159" w14:textId="77777777" w:rsidR="009D3B05" w:rsidRPr="00B02242" w:rsidRDefault="009D3B05" w:rsidP="00B02242">
      <w:pPr>
        <w:rPr>
          <w:rFonts w:cs="Arial"/>
          <w:szCs w:val="20"/>
        </w:rPr>
      </w:pPr>
    </w:p>
    <w:sectPr w:rsidR="009D3B05" w:rsidRPr="00B02242"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361388" w14:textId="77777777" w:rsidR="00E40234" w:rsidRDefault="00E40234" w:rsidP="00B95BF4">
      <w:r>
        <w:separator/>
      </w:r>
    </w:p>
  </w:endnote>
  <w:endnote w:type="continuationSeparator" w:id="0">
    <w:p w14:paraId="7F44CC26" w14:textId="77777777" w:rsidR="00E40234" w:rsidRDefault="00E40234"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CCBAD9" w14:textId="77777777" w:rsidR="001418FA" w:rsidRPr="00E533E1" w:rsidRDefault="00E5311A" w:rsidP="00377B4F">
    <w:pPr>
      <w:tabs>
        <w:tab w:val="right" w:pos="10080"/>
      </w:tabs>
      <w:rPr>
        <w:sz w:val="16"/>
        <w:szCs w:val="16"/>
      </w:rPr>
    </w:pPr>
    <w:r>
      <w:rPr>
        <w:sz w:val="12"/>
        <w:szCs w:val="12"/>
      </w:rPr>
      <w:t>02/2018</w:t>
    </w:r>
    <w:r>
      <w:rPr>
        <w:sz w:val="16"/>
        <w:szCs w:val="16"/>
      </w:rPr>
      <w:tab/>
    </w:r>
    <w:r w:rsidR="001418FA" w:rsidRPr="00E533E1">
      <w:rPr>
        <w:sz w:val="16"/>
        <w:szCs w:val="16"/>
      </w:rPr>
      <w:fldChar w:fldCharType="begin"/>
    </w:r>
    <w:r w:rsidR="001418FA" w:rsidRPr="00E533E1">
      <w:rPr>
        <w:sz w:val="16"/>
        <w:szCs w:val="16"/>
      </w:rPr>
      <w:instrText xml:space="preserve"> PAGE </w:instrText>
    </w:r>
    <w:r w:rsidR="001418FA" w:rsidRPr="00E533E1">
      <w:rPr>
        <w:sz w:val="16"/>
        <w:szCs w:val="16"/>
      </w:rPr>
      <w:fldChar w:fldCharType="separate"/>
    </w:r>
    <w:r w:rsidR="00B02242">
      <w:rPr>
        <w:noProof/>
        <w:sz w:val="16"/>
        <w:szCs w:val="16"/>
      </w:rPr>
      <w:t>4</w:t>
    </w:r>
    <w:r w:rsidR="001418FA" w:rsidRPr="00E533E1">
      <w:rPr>
        <w:sz w:val="16"/>
        <w:szCs w:val="16"/>
      </w:rPr>
      <w:fldChar w:fldCharType="end"/>
    </w:r>
    <w:r>
      <w:rPr>
        <w:sz w:val="16"/>
        <w:szCs w:val="16"/>
      </w:rPr>
      <w:t>/</w:t>
    </w:r>
    <w:r w:rsidR="001418FA" w:rsidRPr="00E533E1">
      <w:rPr>
        <w:sz w:val="16"/>
        <w:szCs w:val="16"/>
      </w:rPr>
      <w:fldChar w:fldCharType="begin"/>
    </w:r>
    <w:r w:rsidR="001418FA" w:rsidRPr="00E533E1">
      <w:rPr>
        <w:sz w:val="16"/>
        <w:szCs w:val="16"/>
      </w:rPr>
      <w:instrText xml:space="preserve"> NUMPAGES </w:instrText>
    </w:r>
    <w:r w:rsidR="001418FA" w:rsidRPr="00E533E1">
      <w:rPr>
        <w:sz w:val="16"/>
        <w:szCs w:val="16"/>
      </w:rPr>
      <w:fldChar w:fldCharType="separate"/>
    </w:r>
    <w:r w:rsidR="00B02242">
      <w:rPr>
        <w:noProof/>
        <w:sz w:val="16"/>
        <w:szCs w:val="16"/>
      </w:rPr>
      <w:t>4</w:t>
    </w:r>
    <w:r w:rsidR="001418FA"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D473A9" w14:textId="77777777" w:rsidR="00E40234" w:rsidRDefault="00E40234" w:rsidP="00B95BF4">
      <w:r>
        <w:separator/>
      </w:r>
    </w:p>
  </w:footnote>
  <w:footnote w:type="continuationSeparator" w:id="0">
    <w:p w14:paraId="5576D207" w14:textId="77777777" w:rsidR="00E40234" w:rsidRDefault="00E40234"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7960BF" w14:textId="77777777" w:rsidR="001418FA" w:rsidRDefault="006C5D8F">
    <w:r>
      <w:rPr>
        <w:noProof/>
        <w:lang w:val="de-AT" w:eastAsia="de-AT"/>
      </w:rPr>
      <w:drawing>
        <wp:anchor distT="0" distB="0" distL="114300" distR="114300" simplePos="0" relativeHeight="251657728" behindDoc="1" locked="0" layoutInCell="1" allowOverlap="1" wp14:anchorId="0D1D3FE9" wp14:editId="36298A1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activeWritingStyle w:appName="MSWord" w:lang="it-IT" w:vendorID="64" w:dllVersion="131078" w:nlCheck="1" w:checkStyle="0"/>
  <w:activeWritingStyle w:appName="MSWord" w:lang="de-AT" w:vendorID="64" w:dllVersion="131078" w:nlCheck="1" w:checkStyle="0"/>
  <w:activeWritingStyle w:appName="MSWord" w:lang="de-DE" w:vendorID="64" w:dllVersion="131078" w:nlCheck="1" w:checkStyle="0"/>
  <w:activeWritingStyle w:appName="MSWord" w:lang="en-US" w:vendorID="64" w:dllVersion="131078"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6552"/>
    <w:rsid w:val="000A1D28"/>
    <w:rsid w:val="000A708E"/>
    <w:rsid w:val="000C13FB"/>
    <w:rsid w:val="000C3A52"/>
    <w:rsid w:val="000C3DA5"/>
    <w:rsid w:val="000C7498"/>
    <w:rsid w:val="000D3094"/>
    <w:rsid w:val="000D316F"/>
    <w:rsid w:val="000D4238"/>
    <w:rsid w:val="000E459D"/>
    <w:rsid w:val="000F1908"/>
    <w:rsid w:val="000F3585"/>
    <w:rsid w:val="000F5430"/>
    <w:rsid w:val="000F6B85"/>
    <w:rsid w:val="000F7051"/>
    <w:rsid w:val="000F79FA"/>
    <w:rsid w:val="00104498"/>
    <w:rsid w:val="00107262"/>
    <w:rsid w:val="00111FB8"/>
    <w:rsid w:val="001147ED"/>
    <w:rsid w:val="001148AA"/>
    <w:rsid w:val="00114FA9"/>
    <w:rsid w:val="0013069A"/>
    <w:rsid w:val="001310AB"/>
    <w:rsid w:val="00131EA2"/>
    <w:rsid w:val="001343DB"/>
    <w:rsid w:val="00134FCE"/>
    <w:rsid w:val="001418FA"/>
    <w:rsid w:val="00142BA2"/>
    <w:rsid w:val="001435E3"/>
    <w:rsid w:val="001530A1"/>
    <w:rsid w:val="00153C92"/>
    <w:rsid w:val="00155F5A"/>
    <w:rsid w:val="00156594"/>
    <w:rsid w:val="001617FB"/>
    <w:rsid w:val="00163C85"/>
    <w:rsid w:val="00166509"/>
    <w:rsid w:val="0017721C"/>
    <w:rsid w:val="001876C7"/>
    <w:rsid w:val="00192BA6"/>
    <w:rsid w:val="001A000F"/>
    <w:rsid w:val="001A60FA"/>
    <w:rsid w:val="001B07BA"/>
    <w:rsid w:val="001B31BA"/>
    <w:rsid w:val="001C0A99"/>
    <w:rsid w:val="001C1C9C"/>
    <w:rsid w:val="001C5BCA"/>
    <w:rsid w:val="001C69BE"/>
    <w:rsid w:val="001C796E"/>
    <w:rsid w:val="001D3408"/>
    <w:rsid w:val="001D7DFC"/>
    <w:rsid w:val="001D7F55"/>
    <w:rsid w:val="001E463E"/>
    <w:rsid w:val="001F0A6A"/>
    <w:rsid w:val="001F0CC2"/>
    <w:rsid w:val="001F20B5"/>
    <w:rsid w:val="001F2E3B"/>
    <w:rsid w:val="001F427C"/>
    <w:rsid w:val="001F447D"/>
    <w:rsid w:val="00201204"/>
    <w:rsid w:val="0020310E"/>
    <w:rsid w:val="002102E7"/>
    <w:rsid w:val="00217B32"/>
    <w:rsid w:val="00221602"/>
    <w:rsid w:val="002219CE"/>
    <w:rsid w:val="00227F9C"/>
    <w:rsid w:val="00230C60"/>
    <w:rsid w:val="00232846"/>
    <w:rsid w:val="002357F0"/>
    <w:rsid w:val="00241673"/>
    <w:rsid w:val="00244A05"/>
    <w:rsid w:val="002471BF"/>
    <w:rsid w:val="002509CB"/>
    <w:rsid w:val="00251D20"/>
    <w:rsid w:val="00252702"/>
    <w:rsid w:val="00256BC9"/>
    <w:rsid w:val="00262FAC"/>
    <w:rsid w:val="00271AE5"/>
    <w:rsid w:val="00275090"/>
    <w:rsid w:val="00280735"/>
    <w:rsid w:val="002820F2"/>
    <w:rsid w:val="00283096"/>
    <w:rsid w:val="00283F56"/>
    <w:rsid w:val="002937C4"/>
    <w:rsid w:val="002A1356"/>
    <w:rsid w:val="002A1C1A"/>
    <w:rsid w:val="002A21B3"/>
    <w:rsid w:val="002A2E7F"/>
    <w:rsid w:val="002A639C"/>
    <w:rsid w:val="002A7D11"/>
    <w:rsid w:val="002B00C8"/>
    <w:rsid w:val="002B21C3"/>
    <w:rsid w:val="002B2873"/>
    <w:rsid w:val="002C5176"/>
    <w:rsid w:val="002C6D84"/>
    <w:rsid w:val="002D42FD"/>
    <w:rsid w:val="002D685F"/>
    <w:rsid w:val="002E021F"/>
    <w:rsid w:val="002E18FC"/>
    <w:rsid w:val="002E6B82"/>
    <w:rsid w:val="002E7110"/>
    <w:rsid w:val="002E7136"/>
    <w:rsid w:val="002E7461"/>
    <w:rsid w:val="002F35E2"/>
    <w:rsid w:val="002F4D51"/>
    <w:rsid w:val="002F6645"/>
    <w:rsid w:val="002F7894"/>
    <w:rsid w:val="00305F75"/>
    <w:rsid w:val="00306869"/>
    <w:rsid w:val="00307DAC"/>
    <w:rsid w:val="0031548A"/>
    <w:rsid w:val="00315D72"/>
    <w:rsid w:val="00316BD6"/>
    <w:rsid w:val="00327E0E"/>
    <w:rsid w:val="00332262"/>
    <w:rsid w:val="00334AB3"/>
    <w:rsid w:val="00343A86"/>
    <w:rsid w:val="003446A8"/>
    <w:rsid w:val="003505E3"/>
    <w:rsid w:val="00353098"/>
    <w:rsid w:val="00355F53"/>
    <w:rsid w:val="00355F8C"/>
    <w:rsid w:val="003611C7"/>
    <w:rsid w:val="00362007"/>
    <w:rsid w:val="003635BF"/>
    <w:rsid w:val="00364594"/>
    <w:rsid w:val="00371551"/>
    <w:rsid w:val="003723E9"/>
    <w:rsid w:val="00374051"/>
    <w:rsid w:val="00377B4F"/>
    <w:rsid w:val="00391733"/>
    <w:rsid w:val="00397D0F"/>
    <w:rsid w:val="003A101F"/>
    <w:rsid w:val="003A5177"/>
    <w:rsid w:val="003A63D8"/>
    <w:rsid w:val="003A6EB3"/>
    <w:rsid w:val="003B5C20"/>
    <w:rsid w:val="003B7A33"/>
    <w:rsid w:val="003C36AC"/>
    <w:rsid w:val="003D0102"/>
    <w:rsid w:val="003D4771"/>
    <w:rsid w:val="003D573B"/>
    <w:rsid w:val="003E277C"/>
    <w:rsid w:val="003E3D91"/>
    <w:rsid w:val="003E6E14"/>
    <w:rsid w:val="003E7A99"/>
    <w:rsid w:val="003F3A37"/>
    <w:rsid w:val="003F4F68"/>
    <w:rsid w:val="003F6E14"/>
    <w:rsid w:val="00401432"/>
    <w:rsid w:val="00401A33"/>
    <w:rsid w:val="004021B0"/>
    <w:rsid w:val="0040631C"/>
    <w:rsid w:val="0040782D"/>
    <w:rsid w:val="00411053"/>
    <w:rsid w:val="004111DE"/>
    <w:rsid w:val="0041302B"/>
    <w:rsid w:val="004217B2"/>
    <w:rsid w:val="0043224D"/>
    <w:rsid w:val="00434D2C"/>
    <w:rsid w:val="00437A3C"/>
    <w:rsid w:val="00440FEC"/>
    <w:rsid w:val="00444419"/>
    <w:rsid w:val="004464CE"/>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460"/>
    <w:rsid w:val="004B5730"/>
    <w:rsid w:val="004C119D"/>
    <w:rsid w:val="004C3AFC"/>
    <w:rsid w:val="004C6F64"/>
    <w:rsid w:val="004D096B"/>
    <w:rsid w:val="004D0BF0"/>
    <w:rsid w:val="004D6BCE"/>
    <w:rsid w:val="004F08C4"/>
    <w:rsid w:val="004F2481"/>
    <w:rsid w:val="004F2F46"/>
    <w:rsid w:val="0050081C"/>
    <w:rsid w:val="005017D2"/>
    <w:rsid w:val="0050275D"/>
    <w:rsid w:val="005031ED"/>
    <w:rsid w:val="0050529E"/>
    <w:rsid w:val="00505D71"/>
    <w:rsid w:val="00512ECD"/>
    <w:rsid w:val="00514EB5"/>
    <w:rsid w:val="0052184E"/>
    <w:rsid w:val="00523F83"/>
    <w:rsid w:val="00526889"/>
    <w:rsid w:val="00530445"/>
    <w:rsid w:val="005358D2"/>
    <w:rsid w:val="005436F3"/>
    <w:rsid w:val="00543F1A"/>
    <w:rsid w:val="005454CE"/>
    <w:rsid w:val="00546D7A"/>
    <w:rsid w:val="00561C79"/>
    <w:rsid w:val="00572790"/>
    <w:rsid w:val="00573CE9"/>
    <w:rsid w:val="00580D7F"/>
    <w:rsid w:val="00581D30"/>
    <w:rsid w:val="00582A0C"/>
    <w:rsid w:val="00584F0C"/>
    <w:rsid w:val="00585291"/>
    <w:rsid w:val="00586FBE"/>
    <w:rsid w:val="00591296"/>
    <w:rsid w:val="00592295"/>
    <w:rsid w:val="00597AD5"/>
    <w:rsid w:val="005A4F3D"/>
    <w:rsid w:val="005B0718"/>
    <w:rsid w:val="005B1EA0"/>
    <w:rsid w:val="005B4657"/>
    <w:rsid w:val="005B6C47"/>
    <w:rsid w:val="005B7715"/>
    <w:rsid w:val="005C1F23"/>
    <w:rsid w:val="005C2630"/>
    <w:rsid w:val="005D4461"/>
    <w:rsid w:val="005D4E30"/>
    <w:rsid w:val="005D71F9"/>
    <w:rsid w:val="005D763E"/>
    <w:rsid w:val="005E3370"/>
    <w:rsid w:val="005F06F0"/>
    <w:rsid w:val="005F13D7"/>
    <w:rsid w:val="005F3A52"/>
    <w:rsid w:val="005F4B4F"/>
    <w:rsid w:val="005F50A4"/>
    <w:rsid w:val="006000A7"/>
    <w:rsid w:val="00602052"/>
    <w:rsid w:val="006021F3"/>
    <w:rsid w:val="006028B0"/>
    <w:rsid w:val="006054EA"/>
    <w:rsid w:val="006055D5"/>
    <w:rsid w:val="00605FA6"/>
    <w:rsid w:val="00613F12"/>
    <w:rsid w:val="00614684"/>
    <w:rsid w:val="00616271"/>
    <w:rsid w:val="006179C0"/>
    <w:rsid w:val="006202DC"/>
    <w:rsid w:val="00630C93"/>
    <w:rsid w:val="006321C6"/>
    <w:rsid w:val="00634414"/>
    <w:rsid w:val="00634499"/>
    <w:rsid w:val="0063630C"/>
    <w:rsid w:val="006449F8"/>
    <w:rsid w:val="00645064"/>
    <w:rsid w:val="00645E4A"/>
    <w:rsid w:val="006551B5"/>
    <w:rsid w:val="00661125"/>
    <w:rsid w:val="00661C95"/>
    <w:rsid w:val="00667BE7"/>
    <w:rsid w:val="0067612E"/>
    <w:rsid w:val="0067652B"/>
    <w:rsid w:val="0068168E"/>
    <w:rsid w:val="006820E2"/>
    <w:rsid w:val="00682A69"/>
    <w:rsid w:val="00683548"/>
    <w:rsid w:val="006856C7"/>
    <w:rsid w:val="0068704F"/>
    <w:rsid w:val="006920C3"/>
    <w:rsid w:val="00693D85"/>
    <w:rsid w:val="006A0BBF"/>
    <w:rsid w:val="006A0C98"/>
    <w:rsid w:val="006A148D"/>
    <w:rsid w:val="006A64A3"/>
    <w:rsid w:val="006B0607"/>
    <w:rsid w:val="006B154F"/>
    <w:rsid w:val="006B1A76"/>
    <w:rsid w:val="006B2007"/>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46AD"/>
    <w:rsid w:val="007054E2"/>
    <w:rsid w:val="007070DC"/>
    <w:rsid w:val="00724449"/>
    <w:rsid w:val="0073594D"/>
    <w:rsid w:val="00742B19"/>
    <w:rsid w:val="0074604A"/>
    <w:rsid w:val="0075110B"/>
    <w:rsid w:val="00752D0D"/>
    <w:rsid w:val="00753B1F"/>
    <w:rsid w:val="0075596F"/>
    <w:rsid w:val="00765AF4"/>
    <w:rsid w:val="00781113"/>
    <w:rsid w:val="00783D9E"/>
    <w:rsid w:val="00784186"/>
    <w:rsid w:val="0078545D"/>
    <w:rsid w:val="007857B6"/>
    <w:rsid w:val="007868C7"/>
    <w:rsid w:val="00786A2E"/>
    <w:rsid w:val="007876DB"/>
    <w:rsid w:val="00790419"/>
    <w:rsid w:val="0079157F"/>
    <w:rsid w:val="00792F0D"/>
    <w:rsid w:val="00794557"/>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00DAD"/>
    <w:rsid w:val="00810B30"/>
    <w:rsid w:val="00814D6D"/>
    <w:rsid w:val="008229D5"/>
    <w:rsid w:val="00823209"/>
    <w:rsid w:val="00831368"/>
    <w:rsid w:val="00847093"/>
    <w:rsid w:val="00847AE5"/>
    <w:rsid w:val="00851C40"/>
    <w:rsid w:val="008527B9"/>
    <w:rsid w:val="008548DC"/>
    <w:rsid w:val="00854CEA"/>
    <w:rsid w:val="0085519E"/>
    <w:rsid w:val="00855311"/>
    <w:rsid w:val="0085700F"/>
    <w:rsid w:val="00857BEC"/>
    <w:rsid w:val="008616CE"/>
    <w:rsid w:val="00864333"/>
    <w:rsid w:val="00864455"/>
    <w:rsid w:val="00864876"/>
    <w:rsid w:val="00866314"/>
    <w:rsid w:val="00867A57"/>
    <w:rsid w:val="00867D31"/>
    <w:rsid w:val="0087082E"/>
    <w:rsid w:val="0087310D"/>
    <w:rsid w:val="008758D5"/>
    <w:rsid w:val="0088714F"/>
    <w:rsid w:val="00887552"/>
    <w:rsid w:val="0089154A"/>
    <w:rsid w:val="00893021"/>
    <w:rsid w:val="008967EF"/>
    <w:rsid w:val="00896E4F"/>
    <w:rsid w:val="008A2AB3"/>
    <w:rsid w:val="008A31FD"/>
    <w:rsid w:val="008A4DA1"/>
    <w:rsid w:val="008B2945"/>
    <w:rsid w:val="008B523F"/>
    <w:rsid w:val="008B597B"/>
    <w:rsid w:val="008C15B9"/>
    <w:rsid w:val="008C2FB6"/>
    <w:rsid w:val="008C56E6"/>
    <w:rsid w:val="008D0873"/>
    <w:rsid w:val="008D4A91"/>
    <w:rsid w:val="008D5701"/>
    <w:rsid w:val="008D6CF2"/>
    <w:rsid w:val="008D72A4"/>
    <w:rsid w:val="008E04ED"/>
    <w:rsid w:val="008E2E3F"/>
    <w:rsid w:val="008E3435"/>
    <w:rsid w:val="008E6B74"/>
    <w:rsid w:val="008E6CC7"/>
    <w:rsid w:val="008E7EBC"/>
    <w:rsid w:val="008E7F7E"/>
    <w:rsid w:val="008F345C"/>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6FAE"/>
    <w:rsid w:val="0094770B"/>
    <w:rsid w:val="0095114F"/>
    <w:rsid w:val="0095249F"/>
    <w:rsid w:val="00953EF9"/>
    <w:rsid w:val="00954976"/>
    <w:rsid w:val="00954F03"/>
    <w:rsid w:val="00956D40"/>
    <w:rsid w:val="00957486"/>
    <w:rsid w:val="00961EE8"/>
    <w:rsid w:val="00974DFB"/>
    <w:rsid w:val="00977F64"/>
    <w:rsid w:val="00982602"/>
    <w:rsid w:val="0098454E"/>
    <w:rsid w:val="00987201"/>
    <w:rsid w:val="0099282C"/>
    <w:rsid w:val="009A0F98"/>
    <w:rsid w:val="009A2721"/>
    <w:rsid w:val="009A385C"/>
    <w:rsid w:val="009A659A"/>
    <w:rsid w:val="009B0C49"/>
    <w:rsid w:val="009B6017"/>
    <w:rsid w:val="009B7DB3"/>
    <w:rsid w:val="009C2A23"/>
    <w:rsid w:val="009C6595"/>
    <w:rsid w:val="009D1C43"/>
    <w:rsid w:val="009D3020"/>
    <w:rsid w:val="009D3B05"/>
    <w:rsid w:val="009D546A"/>
    <w:rsid w:val="009E595B"/>
    <w:rsid w:val="009E7629"/>
    <w:rsid w:val="009F052C"/>
    <w:rsid w:val="009F0857"/>
    <w:rsid w:val="009F588B"/>
    <w:rsid w:val="00A02819"/>
    <w:rsid w:val="00A033DC"/>
    <w:rsid w:val="00A10C62"/>
    <w:rsid w:val="00A12189"/>
    <w:rsid w:val="00A127AC"/>
    <w:rsid w:val="00A13E13"/>
    <w:rsid w:val="00A13E46"/>
    <w:rsid w:val="00A177A4"/>
    <w:rsid w:val="00A206DD"/>
    <w:rsid w:val="00A21C2F"/>
    <w:rsid w:val="00A2283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67347"/>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123F"/>
    <w:rsid w:val="00AF4641"/>
    <w:rsid w:val="00AF6357"/>
    <w:rsid w:val="00B012A7"/>
    <w:rsid w:val="00B02242"/>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353"/>
    <w:rsid w:val="00B775D3"/>
    <w:rsid w:val="00B8748D"/>
    <w:rsid w:val="00B903D3"/>
    <w:rsid w:val="00B95BF4"/>
    <w:rsid w:val="00BA5FCE"/>
    <w:rsid w:val="00BA6039"/>
    <w:rsid w:val="00BA66C1"/>
    <w:rsid w:val="00BA67A4"/>
    <w:rsid w:val="00BB0CEC"/>
    <w:rsid w:val="00BB20D2"/>
    <w:rsid w:val="00BB497B"/>
    <w:rsid w:val="00BB4BD4"/>
    <w:rsid w:val="00BB4E54"/>
    <w:rsid w:val="00BB78D3"/>
    <w:rsid w:val="00BC0C1A"/>
    <w:rsid w:val="00BC1981"/>
    <w:rsid w:val="00BC3DE2"/>
    <w:rsid w:val="00BC4A58"/>
    <w:rsid w:val="00BC4E79"/>
    <w:rsid w:val="00BC510C"/>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697C"/>
    <w:rsid w:val="00C3770B"/>
    <w:rsid w:val="00C407C2"/>
    <w:rsid w:val="00C419E7"/>
    <w:rsid w:val="00C45A1C"/>
    <w:rsid w:val="00C532CE"/>
    <w:rsid w:val="00C53909"/>
    <w:rsid w:val="00C53BD1"/>
    <w:rsid w:val="00C55993"/>
    <w:rsid w:val="00C57436"/>
    <w:rsid w:val="00C62674"/>
    <w:rsid w:val="00C637B5"/>
    <w:rsid w:val="00C63C38"/>
    <w:rsid w:val="00C64647"/>
    <w:rsid w:val="00C6508F"/>
    <w:rsid w:val="00C65E61"/>
    <w:rsid w:val="00C706E3"/>
    <w:rsid w:val="00C81A69"/>
    <w:rsid w:val="00C8306E"/>
    <w:rsid w:val="00C85552"/>
    <w:rsid w:val="00C90D12"/>
    <w:rsid w:val="00C92968"/>
    <w:rsid w:val="00C95B40"/>
    <w:rsid w:val="00C960EB"/>
    <w:rsid w:val="00C9757D"/>
    <w:rsid w:val="00CA3FA6"/>
    <w:rsid w:val="00CA7A2E"/>
    <w:rsid w:val="00CB251A"/>
    <w:rsid w:val="00CC1A0F"/>
    <w:rsid w:val="00CC367E"/>
    <w:rsid w:val="00CC3B16"/>
    <w:rsid w:val="00CD14B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58E5"/>
    <w:rsid w:val="00D37056"/>
    <w:rsid w:val="00D40700"/>
    <w:rsid w:val="00D44972"/>
    <w:rsid w:val="00D46504"/>
    <w:rsid w:val="00D47D8D"/>
    <w:rsid w:val="00D533E9"/>
    <w:rsid w:val="00D541DB"/>
    <w:rsid w:val="00D55915"/>
    <w:rsid w:val="00D60FF1"/>
    <w:rsid w:val="00D6121D"/>
    <w:rsid w:val="00D6161E"/>
    <w:rsid w:val="00D66911"/>
    <w:rsid w:val="00D67A69"/>
    <w:rsid w:val="00D71774"/>
    <w:rsid w:val="00D72B0E"/>
    <w:rsid w:val="00D72E53"/>
    <w:rsid w:val="00D73B2F"/>
    <w:rsid w:val="00D73F90"/>
    <w:rsid w:val="00D8281E"/>
    <w:rsid w:val="00D82837"/>
    <w:rsid w:val="00D82D37"/>
    <w:rsid w:val="00D8729C"/>
    <w:rsid w:val="00D9700C"/>
    <w:rsid w:val="00DA47C2"/>
    <w:rsid w:val="00DA654E"/>
    <w:rsid w:val="00DB70A4"/>
    <w:rsid w:val="00DB7613"/>
    <w:rsid w:val="00DC3457"/>
    <w:rsid w:val="00DC4AE7"/>
    <w:rsid w:val="00DC72A3"/>
    <w:rsid w:val="00DD1940"/>
    <w:rsid w:val="00DD3488"/>
    <w:rsid w:val="00DD3CF2"/>
    <w:rsid w:val="00DE0B25"/>
    <w:rsid w:val="00DE116D"/>
    <w:rsid w:val="00DE2C6B"/>
    <w:rsid w:val="00DF102A"/>
    <w:rsid w:val="00DF12B6"/>
    <w:rsid w:val="00DF5B43"/>
    <w:rsid w:val="00DF5CF7"/>
    <w:rsid w:val="00E01A2F"/>
    <w:rsid w:val="00E02EEA"/>
    <w:rsid w:val="00E03620"/>
    <w:rsid w:val="00E04F19"/>
    <w:rsid w:val="00E06BD4"/>
    <w:rsid w:val="00E20A77"/>
    <w:rsid w:val="00E24368"/>
    <w:rsid w:val="00E25AFA"/>
    <w:rsid w:val="00E2736B"/>
    <w:rsid w:val="00E27CFF"/>
    <w:rsid w:val="00E354C0"/>
    <w:rsid w:val="00E35A6B"/>
    <w:rsid w:val="00E40234"/>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014E"/>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1A13"/>
    <w:rsid w:val="00EB3117"/>
    <w:rsid w:val="00EB68AA"/>
    <w:rsid w:val="00EC0EC2"/>
    <w:rsid w:val="00EC3896"/>
    <w:rsid w:val="00EC5C9B"/>
    <w:rsid w:val="00EC69CF"/>
    <w:rsid w:val="00ED0BF7"/>
    <w:rsid w:val="00ED1039"/>
    <w:rsid w:val="00ED4FC0"/>
    <w:rsid w:val="00ED52BC"/>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681"/>
    <w:rsid w:val="00F13FB4"/>
    <w:rsid w:val="00F202C1"/>
    <w:rsid w:val="00F22951"/>
    <w:rsid w:val="00F26FBE"/>
    <w:rsid w:val="00F360FB"/>
    <w:rsid w:val="00F36386"/>
    <w:rsid w:val="00F40365"/>
    <w:rsid w:val="00F42A07"/>
    <w:rsid w:val="00F43392"/>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3AF3"/>
    <w:rsid w:val="00FC5C29"/>
    <w:rsid w:val="00FD0D41"/>
    <w:rsid w:val="00FD1C8A"/>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22E17418"/>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pt-BR"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pt-BR"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pt-BR"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pt-BR"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pt-BR"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www.fronius.com/en/welding-technology/infocentre/press" TargetMode="External"/><Relationship Id="rId3" Type="http://schemas.openxmlformats.org/officeDocument/2006/relationships/customXml" Target="../customXml/item3.xml"/><Relationship Id="rId21" Type="http://schemas.openxmlformats.org/officeDocument/2006/relationships/hyperlink" Target="http://www.fronius.com/de/schweisstechnik/infocenter/presse" TargetMode="Externa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mailto:Kirsten.Ludwig@a1kommunikation.de"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customXml" Target="../customXml/item6.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mailto:Bitencourt.Thais@fronius.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title_TI_PT xmlns="dc0c2c3d-e9fc-4a0d-820b-87ab82e65f20">TPS/i TWIN Push</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TPS/i TWIN Push</title_TI_DA>
    <Web_x0020_Display_x0020_Title_x0020_ET xmlns="dc0c2c3d-e9fc-4a0d-820b-87ab82e65f20">TPS/i TWIN Push</Web_x0020_Display_x0020_Title_x0020_ET>
    <title_ti_fi xmlns="dc0c2c3d-e9fc-4a0d-820b-87ab82e65f20">TPS/i TWIN Push</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#PT</TermName>
          <TermId xmlns="http://schemas.microsoft.com/office/infopath/2007/PartnerControls">09001fa6-1193-42f9-b106-6c6015fe3ec4</TermId>
        </TermInfo>
      </Terms>
    </k62430406562456c9289cb18a9752f33>
    <title_TI_TR xmlns="dc0c2c3d-e9fc-4a0d-820b-87ab82e65f20">TPS/i TWIN Push</title_TI_TR>
    <countryok xmlns="dc0c2c3d-e9fc-4a0d-820b-87ab82e65f20">true</countryok>
    <Documenttype_ES xmlns="dc0c2c3d-e9fc-4a0d-820b-87ab82e65f20">Información de prensa</Documenttype_ES>
    <title_ti_nb xmlns="dc0c2c3d-e9fc-4a0d-820b-87ab82e65f20">TPS/i TWIN Push</title_ti_nb>
    <title_TI_ES xmlns="dc0c2c3d-e9fc-4a0d-820b-87ab82e65f20">TPS/i TWIN Push</title_TI_ES>
    <Documenttype_TR xmlns="dc0c2c3d-e9fc-4a0d-820b-87ab82e65f20">Basın bülteni</Documenttype_TR>
    <VersionInternal xmlns="dc0c2c3d-e9fc-4a0d-820b-87ab82e65f20">0</VersionInternal>
    <TaxCatchAll xmlns="92f60987-cbcc-4245-baaf-239af3bfd6e8">
      <Value>264</Value>
    </TaxCatchAll>
    <Resolution xmlns="dc0c2c3d-e9fc-4a0d-820b-87ab82e65f20" xsi:nil="true"/>
    <Country xmlns="dc0c2c3d-e9fc-4a0d-820b-87ab82e65f20">
      <Value>8</Value>
    </Country>
    <title_TI_DE xmlns="dc0c2c3d-e9fc-4a0d-820b-87ab82e65f20">TPS/i TWIN Push</title_TI_DE>
    <title_TI_HU xmlns="dc0c2c3d-e9fc-4a0d-820b-87ab82e65f20">TPS/i TWIN Push</title_TI_HU>
    <AGB xmlns="dc0c2c3d-e9fc-4a0d-820b-87ab82e65f20">false</AGB>
    <MRMKeyWords xmlns="dc0c2c3d-e9fc-4a0d-820b-87ab82e65f20">#TPS/i#Hochleistungs-Schweißen#Twin#Tandemprozess#TPS/i TWIN Push#high performance welding#Tandem process#tps i#hochleistungs-schweißen#twin#tps/i#highperformancewelding#tandemprozess#tps/itwinpush#</MRMKeyWords>
    <Documenttype_TH xmlns="dc0c2c3d-e9fc-4a0d-820b-87ab82e65f20">ข่าวประชาสัมพันธ์</Documenttype_TH>
    <Documenttype_NL xmlns="dc0c2c3d-e9fc-4a0d-820b-87ab82e65f20">Persbericht</Documenttype_NL>
    <fro_spid xmlns="dc0c2c3d-e9fc-4a0d-820b-87ab82e65f20">9573;SE</fro_spid>
    <Colour_x0020_space xmlns="dc0c2c3d-e9fc-4a0d-820b-87ab82e65f20" xsi:nil="true"/>
    <title_TI_EA xmlns="dc0c2c3d-e9fc-4a0d-820b-87ab82e65f20">TPS/i TWIN Push</title_TI_EA>
    <Fecha xmlns="53041210-5658-4a0d-8a74-f9413e00f15b" xsi:nil="true"/>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C-100402</contentservId>
    <title_TI_RO xmlns="dc0c2c3d-e9fc-4a0d-820b-87ab82e65f20">TPS/i TWIN Push</title_TI_RO>
    <title_TI_SK xmlns="dc0c2c3d-e9fc-4a0d-820b-87ab82e65f20">TPS/i TWIN Push</title_TI_SK>
    <Update xmlns="dc0c2c3d-e9fc-4a0d-820b-87ab82e65f20">150620</Update>
    <Documenttype_AR xmlns="dc0c2c3d-e9fc-4a0d-820b-87ab82e65f20">Press Release</Documenttype_AR>
    <title_TI_IT xmlns="dc0c2c3d-e9fc-4a0d-820b-87ab82e65f20">TPS/i TWIN Push</title_TI_IT>
    <title_ti_zh xmlns="dc0c2c3d-e9fc-4a0d-820b-87ab82e65f20">TPS/i TWIN Push</title_ti_zh>
    <Division xmlns="dc0c2c3d-e9fc-4a0d-820b-87ab82e65f20">Perfect Welding</Division>
    <title_TI_UA xmlns="dc0c2c3d-e9fc-4a0d-820b-87ab82e65f20">TPS/i TWIN Push</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false</FSM>
    <title_TI_FR xmlns="dc0c2c3d-e9fc-4a0d-820b-87ab82e65f20">TPS/i TWIN Push</title_TI_FR>
    <MRMID xmlns="dc0c2c3d-e9fc-4a0d-820b-87ab82e65f20">M-128457</MRMID>
    <Documenttype_UK xmlns="dc0c2c3d-e9fc-4a0d-820b-87ab82e65f20">Прес-релізи</Documenttype_UK>
    <title_TI_CS xmlns="dc0c2c3d-e9fc-4a0d-820b-87ab82e65f20">TPS/i TWIN Push</title_TI_CS>
    <Documenttype_FR xmlns="dc0c2c3d-e9fc-4a0d-820b-87ab82e65f20">Communiqué de presse</Documenttype_FR>
    <Documenttype_EN xmlns="dc0c2c3d-e9fc-4a0d-820b-87ab82e65f20">Press Release</Documenttype_EN>
    <FileMaster xmlns="dc0c2c3d-e9fc-4a0d-820b-87ab82e65f20">C-100392</FileMaster>
    <icfaae38c4274413b390559439863f3e xmlns="dc0c2c3d-e9fc-4a0d-820b-87ab82e65f20">
      <Terms xmlns="http://schemas.microsoft.com/office/infopath/2007/PartnerControls"/>
    </icfaae38c4274413b390559439863f3e>
    <title_TI_NL xmlns="dc0c2c3d-e9fc-4a0d-820b-87ab82e65f20">TPS/i TWIN Push</title_TI_NL>
    <title_TI_PL xmlns="dc0c2c3d-e9fc-4a0d-820b-87ab82e65f20">TPS/i TWIN Push</title_TI_PL>
    <title_TI_TH xmlns="dc0c2c3d-e9fc-4a0d-820b-87ab82e65f20">TPS/i TWIN Push</title_TI_TH>
    <Documenttype_DA xmlns="dc0c2c3d-e9fc-4a0d-820b-87ab82e65f20">Presseinformationer</Documenttype_DA>
    <Documenttype_HU xmlns="dc0c2c3d-e9fc-4a0d-820b-87ab82e65f20">Sajtóinformáció</Documenttype_HU>
    <title_TI_JP xmlns="dc0c2c3d-e9fc-4a0d-820b-87ab82e65f20">TPS/i TWIN Push</title_TI_JP>
    <title_TI_RU xmlns="dc0c2c3d-e9fc-4a0d-820b-87ab82e65f20">TPS/i TWIN Push</title_TI_RU>
    <Documenttype_PL xmlns="dc0c2c3d-e9fc-4a0d-820b-87ab82e65f20">Informacja prasowe</Documenttype_PL>
    <Licence_x0020_information xmlns="dc0c2c3d-e9fc-4a0d-820b-87ab82e65f20">(c) Fronius International</Licence_x0020_information>
    <title_TI_NO xmlns="dc0c2c3d-e9fc-4a0d-820b-87ab82e65f20">TPS/i TWIN Push</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TPS/i TWIN Push</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TPS/i TWIN Push</title_TI_JA>
    <Documenttype_IT xmlns="dc0c2c3d-e9fc-4a0d-820b-87ab82e65f20">Comunicato stampa</Documenttype_IT>
    <Country_x0020_Quick_x0020_Select xmlns="dc0c2c3d-e9fc-4a0d-820b-87ab82e65f20">Select...</Country_x0020_Quick_x0020_Select>
    <title_TI_EN xmlns="dc0c2c3d-e9fc-4a0d-820b-87ab82e65f20">TPS/i TWIN Push</title_TI_EN>
    <title_TI_AR xmlns="dc0c2c3d-e9fc-4a0d-820b-87ab82e65f20">TPS/i TWIN Push</title_TI_AR>
    <title_TI_SV xmlns="dc0c2c3d-e9fc-4a0d-820b-87ab82e65f20">TPS/i TWIN Push</title_TI_SV>
    <Documenttype_CS xmlns="dc0c2c3d-e9fc-4a0d-820b-87ab82e65f20">Tisková zpráva</Documenttype_CS>
    <TitelInternal xmlns="dc0c2c3d-e9fc-4a0d-820b-87ab82e65f20">PW_PR_TPSi_TWIN_PB</TitelInternal>
    <title_ti_uk xmlns="dc0c2c3d-e9fc-4a0d-820b-87ab82e65f20">TPS/i TWIN Push PB</title_ti_uk>
    <Description0 xmlns="53041210-5658-4a0d-8a74-f9413e00f15b" xsi:nil="true"/>
    <FroCountryExclusive xmlns="dc0c2c3d-e9fc-4a0d-820b-87ab82e65f20">No</FroCountryExclusive>
    <_dlc_DocId xmlns="92f60987-cbcc-4245-baaf-239af3bfd6e8">3457UUQQYVA2-1576582820-9573</_dlc_DocId>
    <_dlc_DocIdUrl xmlns="92f60987-cbcc-4245-baaf-239af3bfd6e8">
      <Url>https://downloads.fronius.com/_layouts/15/DocIdRedir.aspx?ID=3457UUQQYVA2-1576582820-9573</Url>
      <Description>3457UUQQYVA2-1576582820-9573</Description>
    </_dlc_DocIdUrl>
  </documentManagement>
</p:properties>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mso-contentType ?>
<spe:Receivers xmlns:spe="http://schemas.microsoft.com/sharepoint/events"/>
</file>

<file path=customXml/itemProps1.xml><?xml version="1.0" encoding="utf-8"?>
<ds:datastoreItem xmlns:ds="http://schemas.openxmlformats.org/officeDocument/2006/customXml" ds:itemID="{217FCCAA-73EC-4783-BF30-81A113295114}">
  <ds:schemaRefs>
    <ds:schemaRef ds:uri="http://schemas.microsoft.com/office/2006/metadata/properties"/>
    <ds:schemaRef ds:uri="http://schemas.microsoft.com/office/infopath/2007/PartnerControls"/>
    <ds:schemaRef ds:uri="09f5b0be-d4a0-434e-b63f-a971eba1ef82"/>
  </ds:schemaRefs>
</ds:datastoreItem>
</file>

<file path=customXml/itemProps2.xml><?xml version="1.0" encoding="utf-8"?>
<ds:datastoreItem xmlns:ds="http://schemas.openxmlformats.org/officeDocument/2006/customXml" ds:itemID="{2535C5AC-4FCE-4C94-B1B2-D6B6E45A9F71}">
  <ds:schemaRefs>
    <ds:schemaRef ds:uri="Microsoft.SharePoint.Taxonomy.ContentTypeSync"/>
  </ds:schemaRefs>
</ds:datastoreItem>
</file>

<file path=customXml/itemProps3.xml><?xml version="1.0" encoding="utf-8"?>
<ds:datastoreItem xmlns:ds="http://schemas.openxmlformats.org/officeDocument/2006/customXml" ds:itemID="{7153C111-D964-4160-8103-0C83E32B66E7}">
  <ds:schemaRefs>
    <ds:schemaRef ds:uri="http://schemas.microsoft.com/sharepoint/v3/contenttype/forms"/>
  </ds:schemaRefs>
</ds:datastoreItem>
</file>

<file path=customXml/itemProps4.xml><?xml version="1.0" encoding="utf-8"?>
<ds:datastoreItem xmlns:ds="http://schemas.openxmlformats.org/officeDocument/2006/customXml" ds:itemID="{570D0CEE-64A0-4942-8F23-0462AA1A3FC3}"/>
</file>

<file path=customXml/itemProps5.xml><?xml version="1.0" encoding="utf-8"?>
<ds:datastoreItem xmlns:ds="http://schemas.openxmlformats.org/officeDocument/2006/customXml" ds:itemID="{1963A28A-BFCD-452C-878E-47DBF28090AC}">
  <ds:schemaRefs>
    <ds:schemaRef ds:uri="http://schemas.openxmlformats.org/officeDocument/2006/bibliography"/>
  </ds:schemaRefs>
</ds:datastoreItem>
</file>

<file path=customXml/itemProps6.xml><?xml version="1.0" encoding="utf-8"?>
<ds:datastoreItem xmlns:ds="http://schemas.openxmlformats.org/officeDocument/2006/customXml" ds:itemID="{52686F81-1CAA-4875-9ED1-2373B0C4BEE6}"/>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1160</Words>
  <Characters>7414</Characters>
  <Application>Microsoft Office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8557</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PW_PR_TPSi_TWIN_PB</dc:title>
  <dc:subject/>
  <dc:creator>Demirok Fidan</dc:creator>
  <cp:keywords/>
  <cp:lastModifiedBy>Doppler Leonie</cp:lastModifiedBy>
  <cp:revision>23</cp:revision>
  <cp:lastPrinted>2016-07-21T12:13:00Z</cp:lastPrinted>
  <dcterms:created xsi:type="dcterms:W3CDTF">2019-06-05T06:49:00Z</dcterms:created>
  <dcterms:modified xsi:type="dcterms:W3CDTF">2019-07-09T11:12:00Z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o83eafb9fd8f4e0d935a1b8f7d26b594">
    <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acbd67c0-feba-4b17-8436-7d8f6d9fec2a,6;acbd67c0-feba-4b17-8436-7d8f6d9fec2a,6;beb323fc-0212-4837-8558-f431e1d953f5,90;beb323fc-0212-4837-8558-f431e1d953f5,94;beb323fc-0212-4837-8558-f431e1d953f5,99;f23899af-90e5-4213-b122-4e07c0f837c2,103;f23899af-90e5-4213-b122-4e07c0f837c2,107;f23899af-90e5-4213-b122-4e07c0f837c2,110;f23899af-90e5-4213-b122-4e07c0f837c2,113;f23899af-90e5-4213-b122-4e07c0f837c2,116;f23899af-90e5-4213-b122-4e07c0f837c2,120;f23899af-90e5-4213-b122-4e07c0f837c2,123;f23899af-90e5-4213-b122-4e07c0f837c2,127;f23899af-90e5-4213-b122-4e07c0f837c2,130;f23899af-90e5-4213-b122-4e07c0f837c2,133;f23899af-90e5-4213-b122-4e07c0f837c2,136;f23899af-90e5-4213-b122-4e07c0f837c2,139;f23899af-90e5-4213-b122-4e07c0f837c2,142;f23899af-90e5-4213-b122-4e07c0f837c2,145;f23899af-90e5-4213-b122-4e07c0f837c2,149;f23899af-90e5-4213-b122-4e07c0f837c2,152;f23899af-90e5-4213-b122-4e07c0f837c2,156;f23899af-90e5-4213-b122-4e07c0f837c2,159;f23899af-90e5-4213-b122-4e07c0f837c2,163;f23899af-90e5-4213-b122-4e07c0f837c2,166;f23899af-90e5-4213-b122-4e07c0f837c2,169;f23899af-90e5-4213-b122-4e07c0f837c2,172;f23899af-90e5-4213-b122-4e07c0f837c2,175;f23899af-90e5-4213-b122-4e07c0f837c2,178;f23899af-90e5-4213-b122-4e07c0f837c2,182;f23899af-90e5-4213-b122-4e07c0f837c2,185;f23899af-90e5-4213-b122-4e07c0f837c2,188;f23899af-90e5-4213-b122-4e07c0f837c2,192;f23899af-90e5-4213-b122-4e07c0f837c2,196;f23899af-90e5-4213-b122-4e07c0f837c2,200;f23899af-90e5-4213-b122-4e07c0f837c2,203;f23899af-90e5-4213-b122-4e07c0f837c2,206;a8dd0ddf-bfd4-44dd-a6bb-0c3c9675194c,210;a8dd0ddf-bfd4-44dd-a6bb-0c3c9675194c,210;6d1b5151-d866-4942-aea1-17c7cb28edce,235;6d1b5151-d866-4942-aea1-17c7cb28edce,239;84063e84-3b90-4264-9d91-20c80f9713f8,291;84063e84-3b90-4264-9d91-20c80f9713f8,291;84063e84-3b90-4264-9d91-20c80f9713f8,295;84063e84-3b90-4264-9d91-20c80f9713f8,308;</vt:lpwstr>
  </property>
  <property fmtid="{D5CDD505-2E9C-101B-9397-08002B2CF9AE}" pid="9" name="Web Display Title SV">
    <vt:lpwstr>TPS/i TWIN Push</vt:lpwstr>
  </property>
  <property fmtid="{D5CDD505-2E9C-101B-9397-08002B2CF9AE}" pid="10" name="_docset_NoMedatataSyncRequired">
    <vt:lpwstr>False</vt:lpwstr>
  </property>
  <property fmtid="{D5CDD505-2E9C-101B-9397-08002B2CF9AE}" pid="11" name="Language">
    <vt:lpwstr>264;##PT|09001fa6-1193-42f9-b106-6c6015fe3ec4</vt:lpwstr>
  </property>
  <property fmtid="{D5CDD505-2E9C-101B-9397-08002B2CF9AE}" pid="12" name="DisableEventReceiver">
    <vt:bool>false</vt:bool>
  </property>
  <property fmtid="{D5CDD505-2E9C-101B-9397-08002B2CF9AE}" pid="13" name="_dlc_DocIdItemGuid">
    <vt:lpwstr>e88e026a-39be-4e85-8710-c987dffa1a73</vt:lpwstr>
  </property>
</Properties>
</file>