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268F29" w14:textId="77777777" w:rsidR="00377B4F" w:rsidRPr="00EF7D7C" w:rsidRDefault="00377B4F" w:rsidP="003F6E14">
      <w:pPr>
        <w:rPr>
          <w:rFonts w:cs="Arial"/>
          <w:lang w:val="de-DE"/>
        </w:rPr>
      </w:pPr>
    </w:p>
    <w:p w14:paraId="154EF782" w14:textId="77777777" w:rsidR="006021F3" w:rsidRPr="00EF7D7C" w:rsidRDefault="006021F3" w:rsidP="003F6E14">
      <w:pPr>
        <w:rPr>
          <w:rFonts w:cs="Arial"/>
          <w:lang w:val="de-DE"/>
        </w:rPr>
      </w:pPr>
    </w:p>
    <w:p w14:paraId="1179E104" w14:textId="77777777" w:rsidR="006021F3" w:rsidRPr="00EF7D7C" w:rsidRDefault="006021F3" w:rsidP="003F6E14">
      <w:pPr>
        <w:rPr>
          <w:rFonts w:cs="Arial"/>
          <w:lang w:val="de-DE"/>
        </w:rPr>
        <w:sectPr w:rsidR="006021F3" w:rsidRPr="00EF7D7C" w:rsidSect="008527B9">
          <w:headerReference w:type="default" r:id="rId12"/>
          <w:footerReference w:type="default" r:id="rId13"/>
          <w:pgSz w:w="11906" w:h="16838"/>
          <w:pgMar w:top="1977" w:right="746" w:bottom="1134" w:left="1260" w:header="708" w:footer="481" w:gutter="0"/>
          <w:cols w:space="708"/>
          <w:docGrid w:linePitch="360"/>
        </w:sectPr>
      </w:pPr>
    </w:p>
    <w:p w14:paraId="0BB9FF11" w14:textId="77777777" w:rsidR="005B7715" w:rsidRPr="007D19E2" w:rsidRDefault="002937C4" w:rsidP="003F6E14">
      <w:pPr>
        <w:pStyle w:val="berschrift1"/>
        <w:spacing w:before="0" w:after="0"/>
      </w:pPr>
      <w:r>
        <w:lastRenderedPageBreak/>
        <w:t>COMMUNIQUÉ DE PRESSE</w:t>
      </w:r>
    </w:p>
    <w:p w14:paraId="797AF3E2" w14:textId="77777777" w:rsidR="00A206DD" w:rsidRPr="007D3AE3" w:rsidRDefault="00A206DD" w:rsidP="003F6E14">
      <w:pPr>
        <w:rPr>
          <w:rFonts w:cs="Arial"/>
          <w:szCs w:val="20"/>
          <w:lang w:val="en-US"/>
        </w:rPr>
      </w:pPr>
    </w:p>
    <w:p w14:paraId="7CEB1497" w14:textId="77777777" w:rsidR="003F6E14" w:rsidRPr="007D3AE3" w:rsidRDefault="003F6E14" w:rsidP="003F6E14">
      <w:pPr>
        <w:pStyle w:val="Titel"/>
        <w:pBdr>
          <w:bottom w:val="none" w:sz="0" w:space="0" w:color="auto"/>
        </w:pBdr>
        <w:spacing w:after="0"/>
        <w:rPr>
          <w:rFonts w:ascii="Arial" w:hAnsi="Arial"/>
          <w:b/>
          <w:color w:val="000000"/>
          <w:sz w:val="28"/>
          <w:lang w:val="en-US"/>
        </w:rPr>
      </w:pPr>
    </w:p>
    <w:p w14:paraId="6181EFD9" w14:textId="77777777" w:rsidR="00AE2683" w:rsidRPr="00FD0D41" w:rsidRDefault="0068168E" w:rsidP="003F6E14">
      <w:pPr>
        <w:pStyle w:val="Titel"/>
        <w:pBdr>
          <w:bottom w:val="none" w:sz="0" w:space="0" w:color="auto"/>
        </w:pBdr>
        <w:spacing w:after="0"/>
        <w:rPr>
          <w:rFonts w:ascii="Arial" w:hAnsi="Arial" w:cs="Arial"/>
          <w:b/>
          <w:color w:val="000000"/>
          <w:sz w:val="28"/>
          <w:szCs w:val="22"/>
        </w:rPr>
      </w:pPr>
      <w:r>
        <w:rPr>
          <w:rFonts w:ascii="Arial" w:hAnsi="Arial"/>
          <w:b/>
          <w:color w:val="000000"/>
          <w:sz w:val="28"/>
        </w:rPr>
        <w:t>Un duo parfait pour plus d’efficacité</w:t>
      </w:r>
    </w:p>
    <w:p w14:paraId="50DB2F93" w14:textId="77777777" w:rsidR="00AE2683" w:rsidRDefault="00742B19" w:rsidP="003F6E14">
      <w:pPr>
        <w:rPr>
          <w:rFonts w:cs="Arial"/>
          <w:b/>
          <w:szCs w:val="20"/>
        </w:rPr>
      </w:pPr>
      <w:r>
        <w:rPr>
          <w:b/>
          <w:szCs w:val="20"/>
        </w:rPr>
        <w:t>Le soudage tandem avec TPS/i TWIN Push de Fronius</w:t>
      </w:r>
    </w:p>
    <w:p w14:paraId="03BCE8C8" w14:textId="77777777" w:rsidR="00742B19" w:rsidRPr="007D3AE3" w:rsidRDefault="00742B19" w:rsidP="003F6E14">
      <w:pPr>
        <w:rPr>
          <w:rFonts w:cs="Arial"/>
          <w:b/>
          <w:szCs w:val="20"/>
          <w:lang w:val="en-US"/>
        </w:rPr>
      </w:pPr>
    </w:p>
    <w:p w14:paraId="013AF3FC" w14:textId="77777777" w:rsidR="00AE2683" w:rsidRPr="007D3AE3" w:rsidRDefault="00AE2683" w:rsidP="003F6E14">
      <w:pPr>
        <w:rPr>
          <w:rFonts w:cs="Arial"/>
          <w:b/>
          <w:szCs w:val="20"/>
          <w:lang w:val="en-US"/>
        </w:rPr>
      </w:pPr>
    </w:p>
    <w:p w14:paraId="4DAECE48" w14:textId="3A678E22" w:rsidR="00283F56" w:rsidRDefault="00283F56" w:rsidP="003F6E14">
      <w:pPr>
        <w:rPr>
          <w:rFonts w:cs="Arial"/>
          <w:b/>
          <w:szCs w:val="20"/>
        </w:rPr>
      </w:pPr>
      <w:r>
        <w:rPr>
          <w:b/>
          <w:szCs w:val="20"/>
        </w:rPr>
        <w:t>Fronius propose désormais son process de soudage tandem sur la plateforme TPS/i. Le système de soudage haute performance TPS/i TWIN Push n’est pas uniquement plus compact, plus simple à manier et interconnecté, il apporte également des améliorations au process de soudage. Pour les utilisateurs, cela implique des vitesses de dépôt et de soudage plus élevées ainsi qu’une meilleure efficacité en matière de production grâce à la réduction du temps de travail et de finition.</w:t>
      </w:r>
    </w:p>
    <w:p w14:paraId="347BFB53" w14:textId="77777777" w:rsidR="00AE2683" w:rsidRPr="007D3AE3" w:rsidRDefault="00AE2683" w:rsidP="003F6E14">
      <w:pPr>
        <w:rPr>
          <w:rFonts w:eastAsia="Times New Roman" w:cs="Arial"/>
          <w:b/>
          <w:szCs w:val="20"/>
        </w:rPr>
      </w:pPr>
    </w:p>
    <w:p w14:paraId="136569EF" w14:textId="389E506A" w:rsidR="005F13D7" w:rsidRDefault="006054EA" w:rsidP="005F13D7">
      <w:pPr>
        <w:rPr>
          <w:rFonts w:cs="Arial"/>
          <w:szCs w:val="20"/>
        </w:rPr>
      </w:pPr>
      <w:r>
        <w:t>Le soudage haute performance se caractérise par une vitesse de dépôt plus élevée permettant d’atteindre un grand volume de soudure ou des vitesses de soudage plus rapides. C’est notamment utile pour l’assemblage de composants volumineux ou pour les soudures longues pour les machines de construction, les véhicules utilitaires mais également pour les pièces d’automobile et dans la construction navale. La grande puissance de processeur du TPS/i améliore le process tandem TWIN Push synchronisé : il est encore plus stable et fiable, et la meilleure capacité de recouvrement des fentes permet à l’utilisateur d’économiser du temps lors de la préparation des composants. La régulation précise du process de soudage permet également de réduire la quantité de travaux de finition. En effet, un détachement de la goutte contrôlé et un apport de chaleur plus faible dans le composant engendrent des résultats sans projections et avec un minimum de déformation.</w:t>
      </w:r>
    </w:p>
    <w:p w14:paraId="349DB3F1" w14:textId="77777777" w:rsidR="00D72E53" w:rsidRPr="007D3AE3" w:rsidRDefault="00D72E53" w:rsidP="008F345C">
      <w:pPr>
        <w:rPr>
          <w:rFonts w:cs="Arial"/>
          <w:szCs w:val="20"/>
        </w:rPr>
      </w:pPr>
    </w:p>
    <w:p w14:paraId="0A2DFC88" w14:textId="10ACBC8F" w:rsidR="00262FAC" w:rsidRDefault="00ED52BC" w:rsidP="008F345C">
      <w:pPr>
        <w:rPr>
          <w:rFonts w:cs="Arial"/>
          <w:szCs w:val="20"/>
        </w:rPr>
      </w:pPr>
      <w:r>
        <w:t>Avec TPS/i TWIN Push, Fronius propose de nouvelles variantes de process et de régulation : PMC (Pulse Multi Control) TWIN se caractérise par un arc pulsé court et concentré assurant une meilleure pénétration ainsi qu’une vitesse de soudage plus élevée. L’option PulseSync permet à l’utilisateur de sélectionner des vitesses d’avance très différentes pour chacun des deux fils-électrodes. Cela offre une plus grande marge de manœuvre pour adapter parfaitement les paramètres de soudage à son composant et atteindre des vitesses de soudage élevées. La source de courant corrige par la suite automatiquement les paramètres pertinents comme les caractéristiques d’amorçage, le moment du détachement de la goutte et les impulsions. Par ailleurs, le soudeur est assisté de nouveaux mécanismes de régulation : le stabilisateur de longueur d’arc électrique et le stabilisateur de pénétration améliorent la stabilité du processus et facilitent le paramétrage. Si la position de l’emplacement de soudage change, par exemple en raison d’une déformation du composant ou d’un serrage imprécis, la recherche de soudure automatique intervient : pendant le soudage, le système transmet un signal de recherche de soudure au robot pour qu’il effectue une correction si nécessaire.</w:t>
      </w:r>
    </w:p>
    <w:p w14:paraId="76F2206F" w14:textId="77777777" w:rsidR="00262FAC" w:rsidRPr="007D3AE3" w:rsidRDefault="00262FAC" w:rsidP="008F345C">
      <w:pPr>
        <w:rPr>
          <w:rFonts w:cs="Arial"/>
          <w:szCs w:val="20"/>
          <w:lang w:val="en-US"/>
        </w:rPr>
      </w:pPr>
    </w:p>
    <w:p w14:paraId="04512EE7" w14:textId="77777777" w:rsidR="00D73B2F" w:rsidRPr="00742B19" w:rsidRDefault="00742B19" w:rsidP="006054EA">
      <w:pPr>
        <w:rPr>
          <w:rFonts w:cs="Arial"/>
          <w:b/>
          <w:szCs w:val="20"/>
        </w:rPr>
      </w:pPr>
      <w:r>
        <w:rPr>
          <w:b/>
          <w:szCs w:val="20"/>
        </w:rPr>
        <w:t>Système sophistiqué – durée de fonctionnement longue</w:t>
      </w:r>
    </w:p>
    <w:p w14:paraId="3980F7F6" w14:textId="77777777" w:rsidR="004F2F46" w:rsidRPr="007D3AE3" w:rsidRDefault="004F2F46" w:rsidP="004F2F46">
      <w:pPr>
        <w:rPr>
          <w:rFonts w:cs="Arial"/>
          <w:szCs w:val="20"/>
          <w:lang w:val="en-US"/>
        </w:rPr>
      </w:pPr>
    </w:p>
    <w:p w14:paraId="23B55A02" w14:textId="7B26340E" w:rsidR="008F345C" w:rsidRDefault="004F2F46" w:rsidP="003F6E14">
      <w:pPr>
        <w:rPr>
          <w:rFonts w:cs="Arial"/>
          <w:szCs w:val="20"/>
        </w:rPr>
      </w:pPr>
      <w:r>
        <w:lastRenderedPageBreak/>
        <w:t>Le process TWIN est basé sur le soudage tandem au cours duquel deux fils-électrodes sont amenés dans une torche de soudage à l’aide d’une buse de gaz commune, mais restent isolés électriquement l’un de l’autre. Ainsi, les arcs électriques peuvent être réglés individuellement et malgré des puissances différentes, parfaitement synchronisés et accordés l’un avec l’autre. En plus des deux sources de courant TPS/i, le système TWIN Push nécessite un TWIN Controller. Ce dernier synchronise le process de soudage et fait office d’interface compatible avec toutes les marques de robot. Le dévidoir compact, le refroidisseur, le faisceau de liaison et la torche de soudage TWIN complètent le système de soudage.</w:t>
      </w:r>
    </w:p>
    <w:p w14:paraId="7F4AB6B2" w14:textId="77777777" w:rsidR="008F345C" w:rsidRPr="007D3AE3" w:rsidRDefault="008F345C" w:rsidP="003F6E14">
      <w:pPr>
        <w:rPr>
          <w:rFonts w:cs="Arial"/>
          <w:szCs w:val="20"/>
          <w:lang w:val="en-US"/>
        </w:rPr>
      </w:pPr>
    </w:p>
    <w:p w14:paraId="704FBECD" w14:textId="3EAC2726" w:rsidR="002B21C3" w:rsidRPr="00CB251A" w:rsidRDefault="0068168E" w:rsidP="0068168E">
      <w:pPr>
        <w:rPr>
          <w:rFonts w:cs="Arial"/>
          <w:szCs w:val="20"/>
        </w:rPr>
      </w:pPr>
      <w:r>
        <w:t>Le refroidissement amélioré de la torche permet d’allonger la durée d’utilisation des pièces d’usure. En outre, Fronius a développé la Robacta TSS/i TorchServiceStation : ce système de nettoyage de torche de soudage allie différentes méthodes de nettoyage comme le nettoyage à haute pression, le brossage et le nettoyage magnétique mais également le nettoyage à la fraise. Ce nettoyage professionnel de la torche de soudage permet de réduire les coûts globaux grâce à l’allongement de la durée de vie des pièces d’usure.</w:t>
      </w:r>
    </w:p>
    <w:p w14:paraId="3E57AD4B" w14:textId="77777777" w:rsidR="00F13681" w:rsidRPr="007D3AE3" w:rsidRDefault="00F13681" w:rsidP="003F6E14">
      <w:pPr>
        <w:rPr>
          <w:rFonts w:cs="Arial"/>
          <w:szCs w:val="20"/>
        </w:rPr>
      </w:pPr>
    </w:p>
    <w:p w14:paraId="75A3B335" w14:textId="4B6AB510" w:rsidR="00FD1C8A" w:rsidRDefault="001F2E3B" w:rsidP="003F6E14">
      <w:pPr>
        <w:rPr>
          <w:rFonts w:cs="Arial"/>
          <w:szCs w:val="20"/>
        </w:rPr>
      </w:pPr>
      <w:r>
        <w:t>L’efficacité du système de soudage peut encore être améliorée grâce à la station de changement de torche de soudage TX TWIN : cette console permet une permutation automatisée entre des corps de torche de soudage TWIN et Single. Le même système peut ainsi souder des zones difficilement accessibles avec le corps de torche de soudage Single plus compact. Le robot remplace le corps de torche de soudage de façon autonome tel un assistant fantôme.</w:t>
      </w:r>
    </w:p>
    <w:p w14:paraId="449FE299" w14:textId="77777777" w:rsidR="005B0718" w:rsidRPr="007D3AE3" w:rsidRDefault="005B0718" w:rsidP="003F6E14">
      <w:pPr>
        <w:rPr>
          <w:rFonts w:cs="Arial"/>
          <w:color w:val="FF0000"/>
          <w:szCs w:val="20"/>
          <w:lang w:val="en-US"/>
        </w:rPr>
      </w:pPr>
    </w:p>
    <w:p w14:paraId="44C4E4F1" w14:textId="77777777" w:rsidR="002A1356" w:rsidRPr="007D3AE3" w:rsidRDefault="002A1356" w:rsidP="003F6E14">
      <w:pPr>
        <w:rPr>
          <w:rFonts w:cs="Arial"/>
          <w:szCs w:val="20"/>
          <w:lang w:val="en-US"/>
        </w:rPr>
      </w:pPr>
    </w:p>
    <w:p w14:paraId="508FD7D4" w14:textId="3A4ADFB2" w:rsidR="00ED4FC0" w:rsidRPr="00AE2683" w:rsidRDefault="007D3AE3" w:rsidP="003F6E14">
      <w:pPr>
        <w:rPr>
          <w:rFonts w:cs="Arial"/>
          <w:i/>
          <w:szCs w:val="20"/>
        </w:rPr>
      </w:pPr>
      <w:r>
        <w:rPr>
          <w:i/>
          <w:szCs w:val="20"/>
        </w:rPr>
        <w:t>4 500</w:t>
      </w:r>
      <w:r w:rsidR="00E24368">
        <w:rPr>
          <w:i/>
          <w:szCs w:val="20"/>
        </w:rPr>
        <w:t> caractères (espaces compris)</w:t>
      </w:r>
    </w:p>
    <w:p w14:paraId="3957B788" w14:textId="77777777" w:rsidR="00505D71" w:rsidRPr="007D3AE3" w:rsidRDefault="00505D71" w:rsidP="003F6E14">
      <w:pPr>
        <w:rPr>
          <w:rFonts w:cs="Arial"/>
          <w:b/>
          <w:szCs w:val="20"/>
          <w:lang w:val="en-US"/>
        </w:rPr>
      </w:pPr>
    </w:p>
    <w:p w14:paraId="6614926E" w14:textId="77777777" w:rsidR="00A64948" w:rsidRPr="007D3AE3" w:rsidRDefault="00A64948" w:rsidP="003F6E14">
      <w:pPr>
        <w:rPr>
          <w:rFonts w:cs="Arial"/>
          <w:b/>
          <w:szCs w:val="20"/>
          <w:lang w:val="en-US"/>
        </w:rPr>
      </w:pPr>
    </w:p>
    <w:p w14:paraId="3E427A40" w14:textId="77777777" w:rsidR="00A64948" w:rsidRPr="00DD3CF2" w:rsidRDefault="00A64948" w:rsidP="00A64948">
      <w:pPr>
        <w:rPr>
          <w:b/>
        </w:rPr>
      </w:pPr>
      <w:r>
        <w:rPr>
          <w:b/>
        </w:rPr>
        <w:t>[Titre dans la navigation : site Internet]</w:t>
      </w:r>
    </w:p>
    <w:p w14:paraId="1758BF7F" w14:textId="77777777" w:rsidR="00A64948" w:rsidRPr="0095114F" w:rsidRDefault="002F6645" w:rsidP="00A64948">
      <w:r>
        <w:t>TPS/i TWIN Push – Soudage tandem</w:t>
      </w:r>
    </w:p>
    <w:p w14:paraId="42B7213C" w14:textId="77777777" w:rsidR="002F6645" w:rsidRPr="0095114F" w:rsidRDefault="002F6645" w:rsidP="00A64948"/>
    <w:p w14:paraId="0682DA2F" w14:textId="77777777" w:rsidR="00A64948" w:rsidRPr="00DD3CF2" w:rsidRDefault="00A64948" w:rsidP="00A64948">
      <w:pPr>
        <w:rPr>
          <w:b/>
        </w:rPr>
      </w:pPr>
      <w:r>
        <w:rPr>
          <w:b/>
        </w:rPr>
        <w:t>[Nom affiché : URL]</w:t>
      </w:r>
    </w:p>
    <w:p w14:paraId="64F8F951" w14:textId="77777777" w:rsidR="00A64948" w:rsidRDefault="002F6645" w:rsidP="00A64948">
      <w:r>
        <w:t>tpsi-twin-push</w:t>
      </w:r>
    </w:p>
    <w:p w14:paraId="3E8173C4" w14:textId="77777777" w:rsidR="002F6645" w:rsidRPr="00283F56" w:rsidRDefault="002F6645" w:rsidP="00A64948"/>
    <w:p w14:paraId="0742E9CB" w14:textId="77777777" w:rsidR="00A64948" w:rsidRPr="00DD3CF2" w:rsidRDefault="00946FAE" w:rsidP="00A64948">
      <w:pPr>
        <w:rPr>
          <w:b/>
        </w:rPr>
      </w:pPr>
      <w:r>
        <w:rPr>
          <w:b/>
        </w:rPr>
        <w:t>[Méta-titre]</w:t>
      </w:r>
    </w:p>
    <w:p w14:paraId="2D0FBE14" w14:textId="77777777" w:rsidR="002F6645" w:rsidRPr="002F6645" w:rsidRDefault="002F6645" w:rsidP="002F6645">
      <w:pPr>
        <w:rPr>
          <w:rFonts w:cs="Arial"/>
          <w:szCs w:val="20"/>
        </w:rPr>
      </w:pPr>
      <w:r>
        <w:t>Le soudage tandem avec TPS/i TWIN Push de Fronius pour plus d’efficacité</w:t>
      </w:r>
    </w:p>
    <w:p w14:paraId="4FFBDAFC" w14:textId="77777777" w:rsidR="002F6645" w:rsidRPr="007D3AE3" w:rsidRDefault="002F6645" w:rsidP="00A64948">
      <w:pPr>
        <w:rPr>
          <w:lang w:val="en-US"/>
        </w:rPr>
      </w:pPr>
    </w:p>
    <w:p w14:paraId="0C0CC799" w14:textId="2FFEDF6A" w:rsidR="00A64948" w:rsidRPr="00DD3CF2" w:rsidRDefault="00A64948" w:rsidP="00A64948">
      <w:pPr>
        <w:rPr>
          <w:b/>
        </w:rPr>
      </w:pPr>
      <w:r>
        <w:rPr>
          <w:b/>
        </w:rPr>
        <w:t>[Méta-description]</w:t>
      </w:r>
    </w:p>
    <w:p w14:paraId="6151E816" w14:textId="57B10213" w:rsidR="002F6645" w:rsidRPr="002F6645" w:rsidRDefault="002357F0" w:rsidP="002F6645">
      <w:pPr>
        <w:rPr>
          <w:rFonts w:cs="Arial"/>
          <w:szCs w:val="20"/>
        </w:rPr>
      </w:pPr>
      <w:r>
        <w:t>Le soudage haute performance TPS/i TWIN Push permet des vitesses de dépôt et de soudage plus élevées ainsi qu’une réduction du temps de travail comme de finition.</w:t>
      </w:r>
    </w:p>
    <w:p w14:paraId="52C2F525" w14:textId="77777777" w:rsidR="00A64948" w:rsidRPr="007D3AE3" w:rsidRDefault="00A64948" w:rsidP="003F6E14">
      <w:pPr>
        <w:rPr>
          <w:rFonts w:cs="Arial"/>
          <w:szCs w:val="20"/>
          <w:lang w:val="en-US"/>
        </w:rPr>
      </w:pPr>
    </w:p>
    <w:p w14:paraId="472984C6" w14:textId="77777777" w:rsidR="0017721C" w:rsidRPr="007D3AE3" w:rsidRDefault="0017721C" w:rsidP="003F6E14">
      <w:pPr>
        <w:rPr>
          <w:rFonts w:cs="Arial"/>
          <w:b/>
          <w:szCs w:val="20"/>
          <w:lang w:val="en-US"/>
        </w:rPr>
      </w:pPr>
    </w:p>
    <w:p w14:paraId="1C437964" w14:textId="77777777" w:rsidR="00A72F91" w:rsidRPr="00AE2683" w:rsidRDefault="00634499" w:rsidP="003F6E14">
      <w:pPr>
        <w:rPr>
          <w:rFonts w:cs="Arial"/>
          <w:b/>
          <w:szCs w:val="20"/>
        </w:rPr>
      </w:pPr>
      <w:r>
        <w:rPr>
          <w:b/>
          <w:szCs w:val="20"/>
        </w:rPr>
        <w:t xml:space="preserve">Légendes : </w:t>
      </w:r>
    </w:p>
    <w:p w14:paraId="6394A8D9" w14:textId="77777777" w:rsidR="00DA654E" w:rsidRDefault="00DA654E" w:rsidP="003F6E14">
      <w:pPr>
        <w:rPr>
          <w:rFonts w:cs="Arial"/>
          <w:szCs w:val="20"/>
          <w:lang w:val="de-DE"/>
        </w:rPr>
      </w:pPr>
    </w:p>
    <w:p w14:paraId="591E7D86" w14:textId="48431FF8" w:rsidR="00FC3AF3" w:rsidRPr="00AE2683" w:rsidRDefault="00B77353" w:rsidP="003F6E14">
      <w:pPr>
        <w:rPr>
          <w:rFonts w:cs="Arial"/>
          <w:szCs w:val="20"/>
        </w:rPr>
      </w:pPr>
      <w:r>
        <w:rPr>
          <w:noProof/>
          <w:lang w:val="de-AT" w:eastAsia="de-AT"/>
        </w:rPr>
        <w:lastRenderedPageBreak/>
        <w:drawing>
          <wp:inline distT="0" distB="0" distL="0" distR="0" wp14:anchorId="522E4522" wp14:editId="483E5E97">
            <wp:extent cx="1993906" cy="1333500"/>
            <wp:effectExtent l="0" t="0" r="635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2001712" cy="1338721"/>
                    </a:xfrm>
                    <a:prstGeom prst="rect">
                      <a:avLst/>
                    </a:prstGeom>
                  </pic:spPr>
                </pic:pic>
              </a:graphicData>
            </a:graphic>
          </wp:inline>
        </w:drawing>
      </w:r>
    </w:p>
    <w:p w14:paraId="01C25EB7" w14:textId="7BC5EA2C" w:rsidR="00512ECD" w:rsidRDefault="00512ECD" w:rsidP="003F6E14">
      <w:pPr>
        <w:rPr>
          <w:rFonts w:cs="Arial"/>
          <w:szCs w:val="20"/>
        </w:rPr>
      </w:pPr>
      <w:r>
        <w:rPr>
          <w:b/>
          <w:szCs w:val="20"/>
        </w:rPr>
        <w:t xml:space="preserve">Photo 1 : </w:t>
      </w:r>
      <w:r>
        <w:t>Le process tandem de soudage haute performance assure un assemblage efficace en cas de composants volumineux et de longues soudures.</w:t>
      </w:r>
    </w:p>
    <w:p w14:paraId="18B84E93" w14:textId="77777777" w:rsidR="00C57436" w:rsidRPr="007D3AE3" w:rsidRDefault="00C57436" w:rsidP="003F6E14">
      <w:pPr>
        <w:rPr>
          <w:rFonts w:cs="Arial"/>
          <w:b/>
          <w:szCs w:val="20"/>
          <w:lang w:val="en-US"/>
        </w:rPr>
      </w:pPr>
    </w:p>
    <w:p w14:paraId="71AB2ACE" w14:textId="5D3BA10A" w:rsidR="00FC3AF3" w:rsidRDefault="00B77353" w:rsidP="003F6E14">
      <w:pPr>
        <w:rPr>
          <w:rFonts w:cs="Arial"/>
          <w:b/>
          <w:szCs w:val="20"/>
        </w:rPr>
      </w:pPr>
      <w:r>
        <w:rPr>
          <w:noProof/>
          <w:lang w:val="de-AT" w:eastAsia="de-AT"/>
        </w:rPr>
        <w:drawing>
          <wp:inline distT="0" distB="0" distL="0" distR="0" wp14:anchorId="539DE7DB" wp14:editId="1AB5357F">
            <wp:extent cx="1987550" cy="1479219"/>
            <wp:effectExtent l="0" t="0" r="0" b="698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14114" cy="1498989"/>
                    </a:xfrm>
                    <a:prstGeom prst="rect">
                      <a:avLst/>
                    </a:prstGeom>
                  </pic:spPr>
                </pic:pic>
              </a:graphicData>
            </a:graphic>
          </wp:inline>
        </w:drawing>
      </w:r>
    </w:p>
    <w:p w14:paraId="4E9603AA" w14:textId="77777777" w:rsidR="00FC3AF3" w:rsidRPr="00D358E5" w:rsidRDefault="00FC3AF3" w:rsidP="003F6E14">
      <w:pPr>
        <w:rPr>
          <w:rFonts w:cs="Arial"/>
          <w:szCs w:val="20"/>
        </w:rPr>
      </w:pPr>
      <w:r>
        <w:rPr>
          <w:b/>
          <w:szCs w:val="20"/>
        </w:rPr>
        <w:t xml:space="preserve">Photo 2 : </w:t>
      </w:r>
      <w:r>
        <w:t>Les deux fils-électrodes isolés l’un de l’autre permettent de réguler les arcs électriques individuellement.</w:t>
      </w:r>
    </w:p>
    <w:p w14:paraId="6C178113" w14:textId="77777777" w:rsidR="00FC3AF3" w:rsidRPr="007D3AE3" w:rsidRDefault="00FC3AF3" w:rsidP="003F6E14">
      <w:pPr>
        <w:rPr>
          <w:rFonts w:cs="Arial"/>
          <w:b/>
          <w:szCs w:val="20"/>
          <w:lang w:val="en-US"/>
        </w:rPr>
      </w:pPr>
    </w:p>
    <w:p w14:paraId="5CBF9A74" w14:textId="277012C5" w:rsidR="00512ECD" w:rsidRPr="00AE2683" w:rsidRDefault="00B77353" w:rsidP="003F6E14">
      <w:pPr>
        <w:rPr>
          <w:rFonts w:cs="Arial"/>
          <w:b/>
          <w:szCs w:val="20"/>
        </w:rPr>
      </w:pPr>
      <w:r>
        <w:rPr>
          <w:noProof/>
          <w:lang w:val="de-AT" w:eastAsia="de-AT"/>
        </w:rPr>
        <w:drawing>
          <wp:inline distT="0" distB="0" distL="0" distR="0" wp14:anchorId="118CCE36" wp14:editId="44F25F22">
            <wp:extent cx="1441450" cy="1840621"/>
            <wp:effectExtent l="0" t="0" r="6350" b="762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email">
                      <a:extLst>
                        <a:ext uri="{28A0092B-C50C-407E-A947-70E740481C1C}">
                          <a14:useLocalDpi xmlns:a14="http://schemas.microsoft.com/office/drawing/2010/main"/>
                        </a:ext>
                      </a:extLst>
                    </a:blip>
                    <a:stretch>
                      <a:fillRect/>
                    </a:stretch>
                  </pic:blipFill>
                  <pic:spPr>
                    <a:xfrm>
                      <a:off x="0" y="0"/>
                      <a:ext cx="1450145" cy="1851724"/>
                    </a:xfrm>
                    <a:prstGeom prst="rect">
                      <a:avLst/>
                    </a:prstGeom>
                  </pic:spPr>
                </pic:pic>
              </a:graphicData>
            </a:graphic>
          </wp:inline>
        </w:drawing>
      </w:r>
    </w:p>
    <w:p w14:paraId="3D954B5A" w14:textId="77777777" w:rsidR="00512ECD" w:rsidRPr="00D358E5" w:rsidRDefault="00FC3AF3" w:rsidP="003F6E14">
      <w:pPr>
        <w:rPr>
          <w:rFonts w:cs="Arial"/>
          <w:szCs w:val="20"/>
        </w:rPr>
      </w:pPr>
      <w:r>
        <w:rPr>
          <w:b/>
          <w:szCs w:val="20"/>
        </w:rPr>
        <w:t xml:space="preserve">Photo 3 : </w:t>
      </w:r>
      <w:r>
        <w:t>Le refroidissement amélioré de la torche de soudage du système TPS/i TWIN Push permet une plus longue durée d’utilisation des pièces d’usure.</w:t>
      </w:r>
    </w:p>
    <w:p w14:paraId="23789529" w14:textId="77777777" w:rsidR="00512ECD" w:rsidRPr="007D3AE3" w:rsidRDefault="00512ECD" w:rsidP="003F6E14">
      <w:pPr>
        <w:rPr>
          <w:rFonts w:cs="Arial"/>
          <w:b/>
          <w:szCs w:val="20"/>
          <w:lang w:val="en-US"/>
        </w:rPr>
      </w:pPr>
    </w:p>
    <w:p w14:paraId="63FF1B16" w14:textId="3FFE1C79" w:rsidR="00FC3AF3" w:rsidRDefault="00B77353" w:rsidP="003F6E14">
      <w:pPr>
        <w:rPr>
          <w:rFonts w:cs="Arial"/>
          <w:b/>
          <w:szCs w:val="20"/>
        </w:rPr>
      </w:pPr>
      <w:r>
        <w:rPr>
          <w:noProof/>
          <w:lang w:val="de-AT" w:eastAsia="de-AT"/>
        </w:rPr>
        <w:drawing>
          <wp:inline distT="0" distB="0" distL="0" distR="0" wp14:anchorId="12971298" wp14:editId="78C47AF1">
            <wp:extent cx="2018931" cy="1428750"/>
            <wp:effectExtent l="0" t="0" r="63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email">
                      <a:extLst>
                        <a:ext uri="{28A0092B-C50C-407E-A947-70E740481C1C}">
                          <a14:useLocalDpi xmlns:a14="http://schemas.microsoft.com/office/drawing/2010/main"/>
                        </a:ext>
                      </a:extLst>
                    </a:blip>
                    <a:stretch>
                      <a:fillRect/>
                    </a:stretch>
                  </pic:blipFill>
                  <pic:spPr>
                    <a:xfrm>
                      <a:off x="0" y="0"/>
                      <a:ext cx="2026800" cy="1434319"/>
                    </a:xfrm>
                    <a:prstGeom prst="rect">
                      <a:avLst/>
                    </a:prstGeom>
                  </pic:spPr>
                </pic:pic>
              </a:graphicData>
            </a:graphic>
          </wp:inline>
        </w:drawing>
      </w:r>
    </w:p>
    <w:p w14:paraId="4CBF08FD" w14:textId="08F86801" w:rsidR="00FC3AF3" w:rsidRPr="00D358E5" w:rsidRDefault="00FC3AF3" w:rsidP="00D358E5">
      <w:pPr>
        <w:rPr>
          <w:rFonts w:cs="Arial"/>
          <w:szCs w:val="20"/>
        </w:rPr>
      </w:pPr>
      <w:r>
        <w:rPr>
          <w:b/>
          <w:szCs w:val="20"/>
        </w:rPr>
        <w:t xml:space="preserve">Photo 4 : </w:t>
      </w:r>
      <w:r>
        <w:t>Le système de soudage TPS/i TWIN Push est composé de deux sources de courant TPS/i puissantes, du TWIN Controller, d’un dévidoir compact, d’un refroidisseur, de faisceaux de liaison et de la torche de soudage TWIN. La nouvelle station de nettoyage de la torche de soudage Robacta TSS/i TorchServiceStation et la station de changement de torche de soudage TX TWIN viennent compléter le système.</w:t>
      </w:r>
    </w:p>
    <w:p w14:paraId="57C89E43" w14:textId="77777777" w:rsidR="00FC3AF3" w:rsidRPr="007D3AE3" w:rsidRDefault="00FC3AF3" w:rsidP="003F6E14">
      <w:pPr>
        <w:rPr>
          <w:rFonts w:cs="Arial"/>
          <w:b/>
          <w:szCs w:val="20"/>
          <w:lang w:val="en-US"/>
        </w:rPr>
      </w:pPr>
    </w:p>
    <w:p w14:paraId="466C4DB3" w14:textId="77777777" w:rsidR="00FC3AF3" w:rsidRPr="007D3AE3" w:rsidRDefault="00FC3AF3" w:rsidP="003F6E14">
      <w:pPr>
        <w:rPr>
          <w:rFonts w:cs="Arial"/>
          <w:b/>
          <w:szCs w:val="20"/>
          <w:lang w:val="en-US"/>
        </w:rPr>
      </w:pPr>
    </w:p>
    <w:p w14:paraId="1659A911" w14:textId="77777777" w:rsidR="007D3AE3" w:rsidRPr="00EC512E" w:rsidRDefault="007D3AE3" w:rsidP="007D3AE3">
      <w:pPr>
        <w:rPr>
          <w:rFonts w:cs="Arial"/>
          <w:szCs w:val="20"/>
        </w:rPr>
      </w:pPr>
      <w:bookmarkStart w:id="0" w:name="_Hlk518994069"/>
      <w:r w:rsidRPr="00EC512E">
        <w:rPr>
          <w:rFonts w:cs="Arial"/>
          <w:szCs w:val="20"/>
        </w:rPr>
        <w:t>Photos : Fronius International GmbH, publication libre de droits</w:t>
      </w:r>
    </w:p>
    <w:p w14:paraId="08B7AE3F" w14:textId="77777777" w:rsidR="007D3AE3" w:rsidRPr="00EC512E" w:rsidRDefault="007D3AE3" w:rsidP="007D3AE3">
      <w:pPr>
        <w:rPr>
          <w:rFonts w:cs="Arial"/>
          <w:szCs w:val="20"/>
        </w:rPr>
      </w:pPr>
    </w:p>
    <w:p w14:paraId="09A45BCA" w14:textId="77777777" w:rsidR="007D3AE3" w:rsidRPr="00EC512E" w:rsidRDefault="007D3AE3" w:rsidP="007D3AE3">
      <w:pPr>
        <w:rPr>
          <w:rFonts w:cs="Arial"/>
          <w:szCs w:val="20"/>
        </w:rPr>
      </w:pPr>
      <w:r w:rsidRPr="00EC512E">
        <w:rPr>
          <w:rFonts w:cs="Arial"/>
          <w:szCs w:val="20"/>
        </w:rPr>
        <w:t>Les photos peuvent être téléchargées en haute résolution via le lien suivant :</w:t>
      </w:r>
    </w:p>
    <w:p w14:paraId="01621101" w14:textId="77777777" w:rsidR="007D3AE3" w:rsidRPr="00EC512E" w:rsidRDefault="007D3AE3" w:rsidP="007D3AE3">
      <w:pPr>
        <w:rPr>
          <w:rFonts w:cs="Arial"/>
          <w:szCs w:val="20"/>
        </w:rPr>
      </w:pPr>
      <w:hyperlink r:id="rId18" w:history="1">
        <w:r w:rsidRPr="00EC512E">
          <w:rPr>
            <w:rStyle w:val="Hyperlink"/>
            <w:rFonts w:cs="Arial"/>
            <w:bCs/>
            <w:iCs/>
            <w:snapToGrid w:val="0"/>
            <w:szCs w:val="20"/>
            <w:lang w:val="pt-BR"/>
          </w:rPr>
          <w:t>www.fronius.com/en/welding-technology/infocentre/press</w:t>
        </w:r>
      </w:hyperlink>
    </w:p>
    <w:p w14:paraId="2A3304D1" w14:textId="77777777" w:rsidR="007D3AE3" w:rsidRPr="00EC512E" w:rsidRDefault="007D3AE3" w:rsidP="007D3AE3">
      <w:pPr>
        <w:rPr>
          <w:rFonts w:cs="Arial"/>
          <w:b/>
          <w:szCs w:val="20"/>
        </w:rPr>
      </w:pPr>
    </w:p>
    <w:p w14:paraId="024C9B46" w14:textId="77777777" w:rsidR="007D3AE3" w:rsidRPr="00EC512E" w:rsidRDefault="007D3AE3" w:rsidP="007D3AE3">
      <w:pPr>
        <w:rPr>
          <w:rFonts w:cs="Arial"/>
          <w:b/>
          <w:szCs w:val="20"/>
        </w:rPr>
      </w:pPr>
    </w:p>
    <w:p w14:paraId="4FED8723" w14:textId="77777777" w:rsidR="007D3AE3" w:rsidRPr="00EC512E" w:rsidRDefault="007D3AE3" w:rsidP="007D3AE3">
      <w:pPr>
        <w:rPr>
          <w:rFonts w:cs="Arial"/>
          <w:szCs w:val="20"/>
        </w:rPr>
      </w:pPr>
      <w:r w:rsidRPr="00EC512E">
        <w:rPr>
          <w:rFonts w:cs="Arial"/>
          <w:b/>
          <w:szCs w:val="20"/>
        </w:rPr>
        <w:t>Business Unit Perfect Welding</w:t>
      </w:r>
    </w:p>
    <w:p w14:paraId="66661C79" w14:textId="77777777" w:rsidR="007D3AE3" w:rsidRPr="00EC512E" w:rsidRDefault="007D3AE3" w:rsidP="007D3AE3">
      <w:pPr>
        <w:rPr>
          <w:rFonts w:cs="Arial"/>
          <w:szCs w:val="20"/>
        </w:rPr>
      </w:pPr>
      <w:r w:rsidRPr="00EC512E">
        <w:rPr>
          <w:rFonts w:cs="Arial"/>
          <w:szCs w:val="20"/>
        </w:rPr>
        <w:t xml:space="preserve">Fronius Perfect Welding est leader de l’innovation en matière de soudage à l’arc électrique et de soudage par points. La Business Unit est également leader mondial en soudage robotisé. En tant que fournisseur de systèmes, le secteur Fronius Welding Automation réalise en outre des solutions complètes personnalisées pour le soudage automatisé, notamment dans le domaine de la construction de réservoirs ou pour le rechargement par soudure dans le secteur offshore. La gamme est complétée par des sources de courant pour les applications manuelles, des accessoires de soudage ainsi qu’un large éventail de prestations de service. Avec plus de 1 000 partenaires commerciaux à travers le monde, Fronius Perfect Welding est particulièrement proche de ses clients. </w:t>
      </w:r>
    </w:p>
    <w:p w14:paraId="765F4371" w14:textId="77777777" w:rsidR="007D3AE3" w:rsidRPr="00EC512E" w:rsidRDefault="007D3AE3" w:rsidP="007D3AE3">
      <w:pPr>
        <w:rPr>
          <w:rFonts w:cs="Arial"/>
          <w:szCs w:val="20"/>
        </w:rPr>
      </w:pPr>
    </w:p>
    <w:p w14:paraId="3FAB3F0F" w14:textId="77777777" w:rsidR="007D3AE3" w:rsidRPr="00EC512E" w:rsidRDefault="007D3AE3" w:rsidP="007D3AE3">
      <w:pPr>
        <w:rPr>
          <w:rFonts w:cs="Arial"/>
          <w:b/>
          <w:szCs w:val="20"/>
        </w:rPr>
      </w:pPr>
    </w:p>
    <w:p w14:paraId="279F09C7" w14:textId="77777777" w:rsidR="007D3AE3" w:rsidRPr="00EC512E" w:rsidRDefault="007D3AE3" w:rsidP="007D3AE3">
      <w:pPr>
        <w:rPr>
          <w:rFonts w:cs="Arial"/>
          <w:b/>
          <w:szCs w:val="20"/>
        </w:rPr>
      </w:pPr>
      <w:r w:rsidRPr="00EC512E">
        <w:rPr>
          <w:rFonts w:cs="Arial"/>
          <w:b/>
          <w:szCs w:val="20"/>
        </w:rPr>
        <w:t>Fronius International GmbH</w:t>
      </w:r>
    </w:p>
    <w:p w14:paraId="1B46DD47" w14:textId="77777777" w:rsidR="007D3AE3" w:rsidRPr="00EC512E" w:rsidRDefault="007D3AE3" w:rsidP="007D3AE3">
      <w:pPr>
        <w:rPr>
          <w:rFonts w:cs="Arial"/>
          <w:szCs w:val="20"/>
        </w:rPr>
      </w:pPr>
      <w:r w:rsidRPr="00EC512E">
        <w:rPr>
          <w:rFonts w:cs="Arial"/>
          <w:szCs w:val="20"/>
        </w:rPr>
        <w:t>Fronius International GmbH est une entreprise autrichienne dont le siège se trouve à Pettenbach et qui dispose de sites à Wels, Thalheim, Steinhaus et Sattledt. L’entreprise est active dans les secteurs des techniques de soudage, du photovoltaïque ainsi que des tec</w:t>
      </w:r>
      <w:r>
        <w:rPr>
          <w:rFonts w:cs="Arial"/>
          <w:szCs w:val="20"/>
        </w:rPr>
        <w:t xml:space="preserve">hniques de charge, et emploie 4 760 </w:t>
      </w:r>
      <w:r w:rsidRPr="00EC512E">
        <w:rPr>
          <w:rFonts w:cs="Arial"/>
          <w:szCs w:val="20"/>
        </w:rPr>
        <w:t xml:space="preserve">collaborateurs au niveau international. La part des </w:t>
      </w:r>
      <w:r>
        <w:rPr>
          <w:rFonts w:cs="Arial"/>
          <w:szCs w:val="20"/>
        </w:rPr>
        <w:t>exportations tourne autour de 92</w:t>
      </w:r>
      <w:r w:rsidRPr="00EC512E">
        <w:rPr>
          <w:rFonts w:cs="Arial"/>
          <w:szCs w:val="20"/>
        </w:rPr>
        <w:t> %</w:t>
      </w:r>
      <w:r>
        <w:rPr>
          <w:rFonts w:cs="Arial"/>
          <w:szCs w:val="20"/>
        </w:rPr>
        <w:t xml:space="preserve"> grâce à ses 30</w:t>
      </w:r>
      <w:r w:rsidRPr="00EC512E">
        <w:rPr>
          <w:rFonts w:cs="Arial"/>
          <w:szCs w:val="20"/>
        </w:rPr>
        <w:t> filiales internationales Fronius, ses partenaires de vente et ses représentants présents dans plus de 60 pays. Ses produits et se</w:t>
      </w:r>
      <w:r>
        <w:rPr>
          <w:rFonts w:cs="Arial"/>
          <w:szCs w:val="20"/>
        </w:rPr>
        <w:t>rvices innovants ainsi que 1 253</w:t>
      </w:r>
      <w:r w:rsidRPr="00EC512E">
        <w:rPr>
          <w:rFonts w:cs="Arial"/>
          <w:szCs w:val="20"/>
        </w:rPr>
        <w:t xml:space="preserve"> brevets délivrés font de Fronius un leader en innovations sur le marché mondial.</w:t>
      </w:r>
    </w:p>
    <w:p w14:paraId="08A3B94C" w14:textId="77777777" w:rsidR="007D3AE3" w:rsidRPr="00EC512E" w:rsidRDefault="007D3AE3" w:rsidP="007D3AE3">
      <w:pPr>
        <w:pStyle w:val="Textkrper2"/>
        <w:spacing w:after="0" w:line="240" w:lineRule="auto"/>
        <w:ind w:right="29"/>
        <w:rPr>
          <w:rFonts w:cs="Arial"/>
          <w:szCs w:val="20"/>
        </w:rPr>
      </w:pPr>
    </w:p>
    <w:p w14:paraId="0C085D8C" w14:textId="77777777" w:rsidR="007D3AE3" w:rsidRPr="00EC512E" w:rsidRDefault="007D3AE3" w:rsidP="007D3AE3">
      <w:pPr>
        <w:pStyle w:val="Kopfzeile"/>
        <w:tabs>
          <w:tab w:val="left" w:pos="708"/>
        </w:tabs>
        <w:rPr>
          <w:rFonts w:cs="Arial"/>
          <w:iCs/>
          <w:szCs w:val="20"/>
        </w:rPr>
      </w:pPr>
    </w:p>
    <w:p w14:paraId="37F97B88" w14:textId="77777777" w:rsidR="007D3AE3" w:rsidRPr="00EC512E" w:rsidRDefault="007D3AE3" w:rsidP="007D3AE3">
      <w:pPr>
        <w:ind w:right="-2806"/>
        <w:rPr>
          <w:rFonts w:cs="Arial"/>
          <w:iCs/>
          <w:szCs w:val="20"/>
        </w:rPr>
      </w:pPr>
    </w:p>
    <w:p w14:paraId="7904E8AB" w14:textId="77777777" w:rsidR="007D3AE3" w:rsidRPr="0093489D" w:rsidRDefault="007D3AE3" w:rsidP="007D3AE3">
      <w:pPr>
        <w:pStyle w:val="KeinLeerraum"/>
        <w:rPr>
          <w:rStyle w:val="Hyperlink"/>
          <w:rFonts w:cs="Arial"/>
          <w:szCs w:val="20"/>
        </w:rPr>
      </w:pPr>
      <w:r w:rsidRPr="00EC512E">
        <w:rPr>
          <w:rFonts w:cs="Arial"/>
          <w:b/>
          <w:szCs w:val="20"/>
        </w:rPr>
        <w:t>Pour toute autre information, veuillez prendre contact avec :</w:t>
      </w:r>
      <w:r w:rsidRPr="00EC512E">
        <w:rPr>
          <w:rFonts w:cs="Arial"/>
          <w:b/>
          <w:szCs w:val="20"/>
        </w:rPr>
        <w:br/>
      </w:r>
      <w:r w:rsidRPr="00EC512E">
        <w:rPr>
          <w:rFonts w:cs="Arial"/>
          <w:noProof/>
          <w:color w:val="000000"/>
          <w:szCs w:val="20"/>
        </w:rPr>
        <w:t xml:space="preserve">Sabrina </w:t>
      </w:r>
      <w:r w:rsidRPr="00FD25DC">
        <w:rPr>
          <w:rFonts w:cs="Arial"/>
          <w:caps/>
          <w:noProof/>
          <w:color w:val="000000"/>
          <w:szCs w:val="20"/>
        </w:rPr>
        <w:t>Roy</w:t>
      </w:r>
      <w:r w:rsidRPr="00EC512E">
        <w:rPr>
          <w:rFonts w:cs="Arial"/>
          <w:noProof/>
          <w:szCs w:val="20"/>
        </w:rPr>
        <w:t>, Tél.:</w:t>
      </w:r>
      <w:r w:rsidRPr="00EC512E">
        <w:rPr>
          <w:rFonts w:cs="Arial"/>
          <w:szCs w:val="20"/>
        </w:rPr>
        <w:t xml:space="preserve"> +33 (0)1 39 33 12 58</w:t>
      </w:r>
      <w:r w:rsidRPr="00EC512E">
        <w:rPr>
          <w:rFonts w:cs="Arial"/>
          <w:noProof/>
          <w:szCs w:val="20"/>
        </w:rPr>
        <w:t>,</w:t>
      </w:r>
      <w:r>
        <w:rPr>
          <w:rFonts w:cs="Arial"/>
          <w:noProof/>
          <w:szCs w:val="20"/>
        </w:rPr>
        <w:t xml:space="preserve"> </w:t>
      </w:r>
      <w:hyperlink r:id="rId19" w:history="1">
        <w:r w:rsidRPr="0093489D">
          <w:rPr>
            <w:rStyle w:val="Hyperlink"/>
            <w:rFonts w:cs="Arial"/>
            <w:szCs w:val="20"/>
          </w:rPr>
          <w:t>Roy.Sabrina@fronius.com</w:t>
        </w:r>
      </w:hyperlink>
    </w:p>
    <w:p w14:paraId="4C5EE746" w14:textId="77777777" w:rsidR="007D3AE3" w:rsidRDefault="007D3AE3" w:rsidP="007D3AE3">
      <w:pPr>
        <w:rPr>
          <w:rFonts w:ascii="Calibri" w:hAnsi="Calibri"/>
          <w:szCs w:val="22"/>
          <w:lang w:val="en-GB" w:eastAsia="en-US"/>
        </w:rPr>
      </w:pPr>
      <w:r w:rsidRPr="0093489D">
        <w:rPr>
          <w:rFonts w:cs="Arial"/>
          <w:szCs w:val="20"/>
          <w:lang w:val="en-US"/>
        </w:rPr>
        <w:t>Or</w:t>
      </w:r>
      <w:r w:rsidRPr="00FD25DC">
        <w:rPr>
          <w:lang w:val="en-GB"/>
        </w:rPr>
        <w:t xml:space="preserve"> </w:t>
      </w:r>
      <w:r>
        <w:rPr>
          <w:lang w:val="en-GB"/>
        </w:rPr>
        <w:t>Arthy</w:t>
      </w:r>
      <w:r w:rsidRPr="0093489D">
        <w:rPr>
          <w:rFonts w:cs="Arial"/>
          <w:i/>
          <w:szCs w:val="20"/>
          <w:lang w:val="en-US"/>
        </w:rPr>
        <w:t xml:space="preserve"> </w:t>
      </w:r>
      <w:r w:rsidRPr="00FD25DC">
        <w:rPr>
          <w:caps/>
          <w:lang w:val="en-GB"/>
        </w:rPr>
        <w:t>Andraud</w:t>
      </w:r>
      <w:r>
        <w:rPr>
          <w:lang w:val="en-GB"/>
        </w:rPr>
        <w:t xml:space="preserve"> </w:t>
      </w:r>
      <w:hyperlink r:id="rId20" w:history="1">
        <w:r>
          <w:rPr>
            <w:rStyle w:val="Hyperlink"/>
            <w:lang w:val="en-GB"/>
          </w:rPr>
          <w:t>Andraud.Arthy@fronius.com</w:t>
        </w:r>
      </w:hyperlink>
    </w:p>
    <w:p w14:paraId="6FDB4BB5" w14:textId="77777777" w:rsidR="007D3AE3" w:rsidRPr="0093489D" w:rsidRDefault="007D3AE3" w:rsidP="007D3AE3">
      <w:pPr>
        <w:pStyle w:val="KeinLeerraum"/>
        <w:rPr>
          <w:rFonts w:cs="Arial"/>
          <w:i/>
          <w:szCs w:val="20"/>
          <w:lang w:val="en-GB"/>
        </w:rPr>
      </w:pPr>
    </w:p>
    <w:p w14:paraId="4AF45271" w14:textId="77777777" w:rsidR="007D3AE3" w:rsidRPr="0093489D" w:rsidRDefault="007D3AE3" w:rsidP="007D3AE3">
      <w:pPr>
        <w:pStyle w:val="Textkrper-Zeileneinzug"/>
        <w:spacing w:after="0"/>
        <w:ind w:left="0" w:right="-255" w:hanging="283"/>
        <w:rPr>
          <w:rFonts w:cs="Arial"/>
          <w:i/>
          <w:noProof/>
          <w:szCs w:val="20"/>
        </w:rPr>
      </w:pPr>
    </w:p>
    <w:p w14:paraId="1A0BA447" w14:textId="77777777" w:rsidR="007D3AE3" w:rsidRPr="0093489D" w:rsidRDefault="007D3AE3" w:rsidP="007D3AE3">
      <w:pPr>
        <w:pStyle w:val="Textkrper-Zeileneinzug"/>
        <w:spacing w:after="0"/>
        <w:ind w:left="0" w:right="-255" w:hanging="283"/>
        <w:rPr>
          <w:rFonts w:cs="Arial"/>
          <w:i/>
          <w:noProof/>
          <w:szCs w:val="20"/>
        </w:rPr>
      </w:pPr>
    </w:p>
    <w:p w14:paraId="4BA9E87F" w14:textId="77777777" w:rsidR="007D3AE3" w:rsidRPr="00EC512E" w:rsidRDefault="007D3AE3" w:rsidP="007D3AE3">
      <w:pPr>
        <w:pStyle w:val="Textkrper2"/>
        <w:spacing w:after="0" w:line="240" w:lineRule="auto"/>
        <w:ind w:right="29"/>
        <w:rPr>
          <w:rFonts w:cs="Arial"/>
          <w:b/>
          <w:szCs w:val="20"/>
        </w:rPr>
      </w:pPr>
      <w:r w:rsidRPr="00EC512E">
        <w:rPr>
          <w:rFonts w:cs="Arial"/>
          <w:b/>
          <w:szCs w:val="20"/>
        </w:rPr>
        <w:t>Veuillez envoyer un exemplaire justificatif à notre agence :</w:t>
      </w:r>
    </w:p>
    <w:p w14:paraId="50492C86" w14:textId="77777777" w:rsidR="007D3AE3" w:rsidRPr="00EC512E" w:rsidRDefault="007D3AE3" w:rsidP="007D3AE3">
      <w:pPr>
        <w:pStyle w:val="Textkrper2"/>
        <w:spacing w:after="0" w:line="240" w:lineRule="auto"/>
        <w:ind w:right="29"/>
        <w:rPr>
          <w:rFonts w:cs="Arial"/>
          <w:szCs w:val="20"/>
          <w:lang w:val="de-DE"/>
        </w:rPr>
      </w:pPr>
      <w:r w:rsidRPr="00EC512E">
        <w:rPr>
          <w:rFonts w:cs="Arial"/>
          <w:szCs w:val="20"/>
          <w:lang w:val="de-DE"/>
        </w:rPr>
        <w:t xml:space="preserve">a1kommunikation Schweizer GmbH, </w:t>
      </w:r>
      <w:r>
        <w:rPr>
          <w:rFonts w:cs="Arial"/>
          <w:szCs w:val="20"/>
          <w:lang w:val="de-DE"/>
        </w:rPr>
        <w:t>Mdm.</w:t>
      </w:r>
      <w:r w:rsidRPr="00EC512E">
        <w:rPr>
          <w:rFonts w:cs="Arial"/>
          <w:szCs w:val="20"/>
          <w:lang w:val="de-DE"/>
        </w:rPr>
        <w:t xml:space="preserve"> Kirsten </w:t>
      </w:r>
      <w:r w:rsidRPr="00FD25DC">
        <w:rPr>
          <w:rFonts w:cs="Arial"/>
          <w:caps/>
          <w:szCs w:val="20"/>
          <w:lang w:val="de-DE"/>
        </w:rPr>
        <w:t>Ludwig</w:t>
      </w:r>
      <w:r w:rsidRPr="00EC512E">
        <w:rPr>
          <w:rFonts w:cs="Arial"/>
          <w:szCs w:val="20"/>
          <w:lang w:val="de-DE"/>
        </w:rPr>
        <w:t>,</w:t>
      </w:r>
    </w:p>
    <w:p w14:paraId="223DE919" w14:textId="77777777" w:rsidR="007D3AE3" w:rsidRPr="00EC512E" w:rsidRDefault="007D3AE3" w:rsidP="007D3AE3">
      <w:pPr>
        <w:pStyle w:val="Textkrper2"/>
        <w:spacing w:after="0" w:line="240" w:lineRule="auto"/>
        <w:ind w:right="29"/>
        <w:rPr>
          <w:rFonts w:cs="Arial"/>
          <w:szCs w:val="20"/>
          <w:lang w:val="de-DE"/>
        </w:rPr>
      </w:pPr>
      <w:r w:rsidRPr="00EC512E">
        <w:rPr>
          <w:rFonts w:cs="Arial"/>
          <w:szCs w:val="20"/>
          <w:lang w:val="de-DE"/>
        </w:rPr>
        <w:t>Oberdorfstraße 31 A, D – 70794 Filderstadt,</w:t>
      </w:r>
    </w:p>
    <w:p w14:paraId="3C242472" w14:textId="77777777" w:rsidR="007D3AE3" w:rsidRPr="00EC512E" w:rsidRDefault="007D3AE3" w:rsidP="007D3AE3">
      <w:pPr>
        <w:rPr>
          <w:rFonts w:cs="Arial"/>
          <w:szCs w:val="20"/>
        </w:rPr>
      </w:pPr>
      <w:r w:rsidRPr="00EC512E">
        <w:rPr>
          <w:rFonts w:cs="Arial"/>
          <w:szCs w:val="20"/>
          <w:lang w:val="de-DE"/>
        </w:rPr>
        <w:t xml:space="preserve">tél : +49 (0)711 9454161-20, e-mail : </w:t>
      </w:r>
      <w:hyperlink r:id="rId21">
        <w:r w:rsidRPr="00EC512E">
          <w:rPr>
            <w:rStyle w:val="Hyperlink"/>
            <w:rFonts w:cs="Arial"/>
            <w:szCs w:val="20"/>
            <w:lang w:val="de-DE"/>
          </w:rPr>
          <w:t>Kirsten.Ludwig@a1kommunikation.de</w:t>
        </w:r>
      </w:hyperlink>
    </w:p>
    <w:p w14:paraId="51970460" w14:textId="77777777" w:rsidR="007D3AE3" w:rsidRPr="00EC512E" w:rsidRDefault="007D3AE3" w:rsidP="007D3AE3">
      <w:pPr>
        <w:rPr>
          <w:rFonts w:cs="Arial"/>
          <w:szCs w:val="20"/>
        </w:rPr>
      </w:pPr>
    </w:p>
    <w:p w14:paraId="298FC459" w14:textId="77777777" w:rsidR="007D3AE3" w:rsidRDefault="007D3AE3" w:rsidP="007D3AE3">
      <w:pPr>
        <w:rPr>
          <w:rFonts w:cs="Arial"/>
          <w:b/>
          <w:szCs w:val="20"/>
        </w:rPr>
      </w:pPr>
    </w:p>
    <w:p w14:paraId="0B6C4C46" w14:textId="77777777" w:rsidR="007D3AE3" w:rsidRDefault="007D3AE3" w:rsidP="007D3AE3">
      <w:pPr>
        <w:rPr>
          <w:rFonts w:cs="Arial"/>
          <w:szCs w:val="20"/>
        </w:rPr>
      </w:pPr>
      <w:r w:rsidRPr="00B80BFF">
        <w:rPr>
          <w:rFonts w:cs="Arial"/>
          <w:szCs w:val="20"/>
        </w:rPr>
        <w:t xml:space="preserve">Si vous ne souhaitez plus recevoir de communiqués de presse de la Business Unit Perfect Welding de Fronius International, répondez par </w:t>
      </w:r>
      <w:hyperlink r:id="rId22" w:history="1">
        <w:r w:rsidRPr="00B80BFF">
          <w:rPr>
            <w:rStyle w:val="Hyperlink"/>
            <w:rFonts w:cs="Arial"/>
            <w:szCs w:val="20"/>
          </w:rPr>
          <w:t>UNSUBSCRIBE</w:t>
        </w:r>
      </w:hyperlink>
      <w:bookmarkEnd w:id="0"/>
      <w:r w:rsidRPr="00B80BFF">
        <w:rPr>
          <w:rFonts w:cs="Arial"/>
          <w:szCs w:val="20"/>
        </w:rPr>
        <w:t>.</w:t>
      </w:r>
    </w:p>
    <w:p w14:paraId="54B6C6E9" w14:textId="77777777" w:rsidR="007D3AE3" w:rsidRDefault="007D3AE3" w:rsidP="007D3AE3">
      <w:pPr>
        <w:rPr>
          <w:rFonts w:cs="Arial"/>
          <w:szCs w:val="20"/>
        </w:rPr>
      </w:pPr>
    </w:p>
    <w:p w14:paraId="02F9BC4E" w14:textId="77777777" w:rsidR="007D3AE3" w:rsidRDefault="007D3AE3" w:rsidP="007D3AE3">
      <w:pPr>
        <w:rPr>
          <w:rFonts w:cs="Arial"/>
          <w:szCs w:val="20"/>
        </w:rPr>
      </w:pPr>
    </w:p>
    <w:p w14:paraId="41B99FC7" w14:textId="77777777" w:rsidR="007D3AE3" w:rsidRPr="00B80BFF" w:rsidRDefault="007D3AE3" w:rsidP="007D3AE3">
      <w:pPr>
        <w:rPr>
          <w:rFonts w:cs="Arial"/>
          <w:vanish/>
          <w:szCs w:val="20"/>
        </w:rPr>
      </w:pPr>
      <w:r w:rsidRPr="00D54FDD">
        <w:rPr>
          <w:rFonts w:cs="Arial"/>
          <w:szCs w:val="20"/>
        </w:rPr>
        <w:t xml:space="preserve">Pour d’autres informations passionnantes, rendez-vous sur notre blog à l’adresse blog.perfectwelding.fronius.com et suivez-nous sur Facebook (froniuswelding), Twitter (froniusintweld), LinkedIn (perfect-welding), Instagram (froniuswelding) et YouTube (froniuswelding) ! </w:t>
      </w:r>
      <w:r w:rsidRPr="00B80BFF">
        <w:rPr>
          <w:rFonts w:cs="Arial"/>
          <w:vanish/>
          <w:szCs w:val="20"/>
        </w:rPr>
        <w:t>Fronius International GmbH</w:t>
      </w:r>
    </w:p>
    <w:p w14:paraId="09336BEB" w14:textId="77777777" w:rsidR="007D3AE3" w:rsidRPr="00B80BFF" w:rsidRDefault="007D3AE3" w:rsidP="007D3AE3">
      <w:pPr>
        <w:rPr>
          <w:rFonts w:cs="Arial"/>
          <w:vanish/>
          <w:szCs w:val="20"/>
        </w:rPr>
      </w:pPr>
    </w:p>
    <w:p w14:paraId="14BFB997" w14:textId="77777777" w:rsidR="007D3AE3" w:rsidRPr="00B80BFF" w:rsidRDefault="007D3AE3" w:rsidP="007D3AE3">
      <w:pPr>
        <w:rPr>
          <w:rFonts w:cs="Arial"/>
          <w:i/>
          <w:vanish/>
          <w:szCs w:val="20"/>
        </w:rPr>
      </w:pPr>
      <w:r w:rsidRPr="00B80BFF">
        <w:rPr>
          <w:rFonts w:cs="Arial"/>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1A3F9792" w14:textId="77777777" w:rsidR="007D3AE3" w:rsidRPr="00B80BFF" w:rsidRDefault="007D3AE3" w:rsidP="007D3AE3">
      <w:pPr>
        <w:rPr>
          <w:rFonts w:cs="Arial"/>
          <w:i/>
          <w:vanish/>
          <w:szCs w:val="20"/>
        </w:rPr>
      </w:pPr>
    </w:p>
    <w:p w14:paraId="14A67AFB" w14:textId="77777777" w:rsidR="007D3AE3" w:rsidRPr="00B80BFF" w:rsidRDefault="007D3AE3" w:rsidP="007D3AE3">
      <w:pPr>
        <w:rPr>
          <w:rFonts w:cs="Arial"/>
          <w:vanish/>
          <w:szCs w:val="20"/>
        </w:rPr>
      </w:pPr>
    </w:p>
    <w:p w14:paraId="51C8B8D6" w14:textId="77777777" w:rsidR="007D3AE3" w:rsidRPr="00B80BFF" w:rsidRDefault="007D3AE3" w:rsidP="007D3AE3">
      <w:pPr>
        <w:rPr>
          <w:rFonts w:cs="Arial"/>
          <w:vanish/>
          <w:szCs w:val="20"/>
        </w:rPr>
      </w:pPr>
    </w:p>
    <w:p w14:paraId="1C67D8CA" w14:textId="77777777" w:rsidR="007D3AE3" w:rsidRPr="00B80BFF" w:rsidRDefault="007D3AE3" w:rsidP="007D3AE3">
      <w:pPr>
        <w:rPr>
          <w:rFonts w:cs="Arial"/>
          <w:vanish/>
          <w:szCs w:val="20"/>
        </w:rPr>
      </w:pPr>
      <w:r w:rsidRPr="00B80BFF">
        <w:rPr>
          <w:rFonts w:cs="Arial"/>
          <w:vanish/>
          <w:szCs w:val="20"/>
        </w:rPr>
        <w:t>Diese Presseinformation sowie die Bilder stehen für Sie zum Download im Internet zur Verfügung:</w:t>
      </w:r>
    </w:p>
    <w:p w14:paraId="56F47833" w14:textId="77777777" w:rsidR="007D3AE3" w:rsidRPr="00B80BFF" w:rsidRDefault="007D3AE3" w:rsidP="007D3AE3">
      <w:pPr>
        <w:rPr>
          <w:rFonts w:cs="Arial"/>
          <w:vanish/>
          <w:szCs w:val="20"/>
        </w:rPr>
      </w:pPr>
      <w:hyperlink r:id="rId23" w:history="1">
        <w:r w:rsidRPr="00B80BFF">
          <w:rPr>
            <w:rFonts w:cs="Arial"/>
            <w:vanish/>
            <w:color w:val="0000FF"/>
            <w:szCs w:val="20"/>
            <w:u w:val="single"/>
          </w:rPr>
          <w:t>www.fronius.com/de/schweisstechnik/infocenter/presse</w:t>
        </w:r>
      </w:hyperlink>
    </w:p>
    <w:p w14:paraId="7BB42CEB" w14:textId="77777777" w:rsidR="007D3AE3" w:rsidRPr="00B80BFF" w:rsidRDefault="007D3AE3" w:rsidP="007D3AE3">
      <w:pPr>
        <w:rPr>
          <w:rFonts w:cs="Arial"/>
          <w:vanish/>
          <w:szCs w:val="20"/>
        </w:rPr>
      </w:pPr>
    </w:p>
    <w:p w14:paraId="4A2C1EE5" w14:textId="77777777" w:rsidR="007D3AE3" w:rsidRPr="00B80BFF" w:rsidRDefault="007D3AE3" w:rsidP="007D3AE3">
      <w:pPr>
        <w:rPr>
          <w:rFonts w:cs="Arial"/>
          <w:vanish/>
          <w:szCs w:val="20"/>
        </w:rPr>
      </w:pPr>
    </w:p>
    <w:p w14:paraId="19AA03D9" w14:textId="77777777" w:rsidR="007D3AE3" w:rsidRPr="00B80BFF" w:rsidRDefault="007D3AE3" w:rsidP="007D3AE3">
      <w:pPr>
        <w:rPr>
          <w:rFonts w:cs="Arial"/>
          <w:szCs w:val="20"/>
        </w:rPr>
      </w:pPr>
    </w:p>
    <w:p w14:paraId="227A5F0F" w14:textId="795393CA" w:rsidR="009D3B05" w:rsidRPr="009D3B05" w:rsidRDefault="009D3B05" w:rsidP="009D3B05">
      <w:pPr>
        <w:rPr>
          <w:rFonts w:cs="Arial"/>
          <w:szCs w:val="20"/>
        </w:rPr>
      </w:pPr>
      <w:bookmarkStart w:id="1" w:name="_GoBack"/>
      <w:bookmarkEnd w:id="1"/>
    </w:p>
    <w:p w14:paraId="4B9D9159" w14:textId="77777777" w:rsidR="009D3B05" w:rsidRPr="007D3AE3" w:rsidRDefault="009D3B05" w:rsidP="003F6E14">
      <w:pPr>
        <w:rPr>
          <w:rFonts w:cs="Arial"/>
          <w:szCs w:val="20"/>
        </w:rPr>
      </w:pPr>
    </w:p>
    <w:sectPr w:rsidR="009D3B05" w:rsidRPr="007D3AE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61388" w14:textId="77777777" w:rsidR="00E40234" w:rsidRDefault="00E40234" w:rsidP="00B95BF4">
      <w:r>
        <w:separator/>
      </w:r>
    </w:p>
  </w:endnote>
  <w:endnote w:type="continuationSeparator" w:id="0">
    <w:p w14:paraId="7F44CC26" w14:textId="77777777" w:rsidR="00E40234" w:rsidRDefault="00E40234"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CCBAD9" w14:textId="77777777" w:rsidR="001418FA" w:rsidRPr="00E533E1" w:rsidRDefault="00E5311A" w:rsidP="00377B4F">
    <w:pPr>
      <w:tabs>
        <w:tab w:val="right" w:pos="10080"/>
      </w:tabs>
      <w:rPr>
        <w:sz w:val="16"/>
        <w:szCs w:val="16"/>
      </w:rPr>
    </w:pPr>
    <w:r>
      <w:rPr>
        <w:sz w:val="12"/>
        <w:szCs w:val="12"/>
      </w:rPr>
      <w:t>02/2018</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7D3AE3">
      <w:rPr>
        <w:noProof/>
        <w:sz w:val="16"/>
        <w:szCs w:val="16"/>
      </w:rPr>
      <w:t>3</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7D3AE3">
      <w:rPr>
        <w:noProof/>
        <w:sz w:val="16"/>
        <w:szCs w:val="16"/>
      </w:rPr>
      <w:t>4</w:t>
    </w:r>
    <w:r w:rsidR="001418FA"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D473A9" w14:textId="77777777" w:rsidR="00E40234" w:rsidRDefault="00E40234" w:rsidP="00B95BF4">
      <w:r>
        <w:separator/>
      </w:r>
    </w:p>
  </w:footnote>
  <w:footnote w:type="continuationSeparator" w:id="0">
    <w:p w14:paraId="5576D207" w14:textId="77777777" w:rsidR="00E40234" w:rsidRDefault="00E40234"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7960BF" w14:textId="77777777" w:rsidR="001418FA" w:rsidRDefault="006C5D8F">
    <w:r>
      <w:rPr>
        <w:noProof/>
        <w:lang w:val="de-AT" w:eastAsia="de-AT"/>
      </w:rPr>
      <w:drawing>
        <wp:anchor distT="0" distB="0" distL="114300" distR="114300" simplePos="0" relativeHeight="251657728" behindDoc="1" locked="0" layoutInCell="1" allowOverlap="1" wp14:anchorId="0D1D3FE9" wp14:editId="36298A1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6552"/>
    <w:rsid w:val="000A1D28"/>
    <w:rsid w:val="000A708E"/>
    <w:rsid w:val="000C13FB"/>
    <w:rsid w:val="000C3A52"/>
    <w:rsid w:val="000C3DA5"/>
    <w:rsid w:val="000C7498"/>
    <w:rsid w:val="000D3094"/>
    <w:rsid w:val="000D316F"/>
    <w:rsid w:val="000D4238"/>
    <w:rsid w:val="000E459D"/>
    <w:rsid w:val="000F1908"/>
    <w:rsid w:val="000F3585"/>
    <w:rsid w:val="000F5430"/>
    <w:rsid w:val="000F6B85"/>
    <w:rsid w:val="000F7051"/>
    <w:rsid w:val="000F79FA"/>
    <w:rsid w:val="00104498"/>
    <w:rsid w:val="00107262"/>
    <w:rsid w:val="00111FB8"/>
    <w:rsid w:val="001147ED"/>
    <w:rsid w:val="001148AA"/>
    <w:rsid w:val="00114FA9"/>
    <w:rsid w:val="0013069A"/>
    <w:rsid w:val="001310AB"/>
    <w:rsid w:val="00131EA2"/>
    <w:rsid w:val="001343DB"/>
    <w:rsid w:val="00134FCE"/>
    <w:rsid w:val="001418FA"/>
    <w:rsid w:val="00142BA2"/>
    <w:rsid w:val="001435E3"/>
    <w:rsid w:val="001530A1"/>
    <w:rsid w:val="00153C92"/>
    <w:rsid w:val="00155F5A"/>
    <w:rsid w:val="00156594"/>
    <w:rsid w:val="001617FB"/>
    <w:rsid w:val="00163C85"/>
    <w:rsid w:val="00166509"/>
    <w:rsid w:val="0017721C"/>
    <w:rsid w:val="001876C7"/>
    <w:rsid w:val="00192BA6"/>
    <w:rsid w:val="001A000F"/>
    <w:rsid w:val="001A60FA"/>
    <w:rsid w:val="001B07BA"/>
    <w:rsid w:val="001B31BA"/>
    <w:rsid w:val="001C0A99"/>
    <w:rsid w:val="001C1C9C"/>
    <w:rsid w:val="001C5BCA"/>
    <w:rsid w:val="001C69BE"/>
    <w:rsid w:val="001C796E"/>
    <w:rsid w:val="001D3408"/>
    <w:rsid w:val="001D7DFC"/>
    <w:rsid w:val="001D7F55"/>
    <w:rsid w:val="001E463E"/>
    <w:rsid w:val="001F0A6A"/>
    <w:rsid w:val="001F0CC2"/>
    <w:rsid w:val="001F20B5"/>
    <w:rsid w:val="001F2E3B"/>
    <w:rsid w:val="001F427C"/>
    <w:rsid w:val="001F447D"/>
    <w:rsid w:val="00201204"/>
    <w:rsid w:val="0020310E"/>
    <w:rsid w:val="002102E7"/>
    <w:rsid w:val="00217B32"/>
    <w:rsid w:val="00221602"/>
    <w:rsid w:val="002219CE"/>
    <w:rsid w:val="00227F9C"/>
    <w:rsid w:val="00230C60"/>
    <w:rsid w:val="00232846"/>
    <w:rsid w:val="002357F0"/>
    <w:rsid w:val="00241673"/>
    <w:rsid w:val="00244A05"/>
    <w:rsid w:val="002471BF"/>
    <w:rsid w:val="002509CB"/>
    <w:rsid w:val="00251D20"/>
    <w:rsid w:val="00252702"/>
    <w:rsid w:val="00256BC9"/>
    <w:rsid w:val="00262FAC"/>
    <w:rsid w:val="00271AE5"/>
    <w:rsid w:val="00275090"/>
    <w:rsid w:val="00280735"/>
    <w:rsid w:val="002820F2"/>
    <w:rsid w:val="00283096"/>
    <w:rsid w:val="00283F56"/>
    <w:rsid w:val="002937C4"/>
    <w:rsid w:val="002A1356"/>
    <w:rsid w:val="002A1C1A"/>
    <w:rsid w:val="002A21B3"/>
    <w:rsid w:val="002A2E7F"/>
    <w:rsid w:val="002A639C"/>
    <w:rsid w:val="002A7D11"/>
    <w:rsid w:val="002B00C8"/>
    <w:rsid w:val="002B21C3"/>
    <w:rsid w:val="002B2873"/>
    <w:rsid w:val="002C5176"/>
    <w:rsid w:val="002C6D84"/>
    <w:rsid w:val="002D42FD"/>
    <w:rsid w:val="002D685F"/>
    <w:rsid w:val="002E021F"/>
    <w:rsid w:val="002E18FC"/>
    <w:rsid w:val="002E6B82"/>
    <w:rsid w:val="002E7110"/>
    <w:rsid w:val="002E7136"/>
    <w:rsid w:val="002E7461"/>
    <w:rsid w:val="002F35E2"/>
    <w:rsid w:val="002F4D51"/>
    <w:rsid w:val="002F6645"/>
    <w:rsid w:val="002F7894"/>
    <w:rsid w:val="00305F75"/>
    <w:rsid w:val="00306869"/>
    <w:rsid w:val="00307DAC"/>
    <w:rsid w:val="0031548A"/>
    <w:rsid w:val="00315D72"/>
    <w:rsid w:val="00316BD6"/>
    <w:rsid w:val="00327E0E"/>
    <w:rsid w:val="00332262"/>
    <w:rsid w:val="00334AB3"/>
    <w:rsid w:val="00343A86"/>
    <w:rsid w:val="003446A8"/>
    <w:rsid w:val="003505E3"/>
    <w:rsid w:val="00353098"/>
    <w:rsid w:val="00355F53"/>
    <w:rsid w:val="00355F8C"/>
    <w:rsid w:val="003611C7"/>
    <w:rsid w:val="00362007"/>
    <w:rsid w:val="003635BF"/>
    <w:rsid w:val="00364594"/>
    <w:rsid w:val="00371551"/>
    <w:rsid w:val="003723E9"/>
    <w:rsid w:val="00374051"/>
    <w:rsid w:val="00377B4F"/>
    <w:rsid w:val="00391733"/>
    <w:rsid w:val="00397D0F"/>
    <w:rsid w:val="003A101F"/>
    <w:rsid w:val="003A5177"/>
    <w:rsid w:val="003A63D8"/>
    <w:rsid w:val="003A6EB3"/>
    <w:rsid w:val="003B5C20"/>
    <w:rsid w:val="003B7A33"/>
    <w:rsid w:val="003C36AC"/>
    <w:rsid w:val="003D0102"/>
    <w:rsid w:val="003D4771"/>
    <w:rsid w:val="003D573B"/>
    <w:rsid w:val="003E277C"/>
    <w:rsid w:val="003E3D91"/>
    <w:rsid w:val="003E6E14"/>
    <w:rsid w:val="003E7A99"/>
    <w:rsid w:val="003F3A37"/>
    <w:rsid w:val="003F4F68"/>
    <w:rsid w:val="003F6E14"/>
    <w:rsid w:val="00401432"/>
    <w:rsid w:val="00401A33"/>
    <w:rsid w:val="004021B0"/>
    <w:rsid w:val="0040631C"/>
    <w:rsid w:val="0040782D"/>
    <w:rsid w:val="00411053"/>
    <w:rsid w:val="004111DE"/>
    <w:rsid w:val="0041302B"/>
    <w:rsid w:val="004217B2"/>
    <w:rsid w:val="0043224D"/>
    <w:rsid w:val="00434D2C"/>
    <w:rsid w:val="00437A3C"/>
    <w:rsid w:val="00440FEC"/>
    <w:rsid w:val="00444419"/>
    <w:rsid w:val="004464CE"/>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460"/>
    <w:rsid w:val="004B5730"/>
    <w:rsid w:val="004C119D"/>
    <w:rsid w:val="004C3AFC"/>
    <w:rsid w:val="004C6F64"/>
    <w:rsid w:val="004D096B"/>
    <w:rsid w:val="004D0BF0"/>
    <w:rsid w:val="004D6BCE"/>
    <w:rsid w:val="004F08C4"/>
    <w:rsid w:val="004F2481"/>
    <w:rsid w:val="004F2F46"/>
    <w:rsid w:val="0050081C"/>
    <w:rsid w:val="005017D2"/>
    <w:rsid w:val="0050275D"/>
    <w:rsid w:val="005031ED"/>
    <w:rsid w:val="0050529E"/>
    <w:rsid w:val="00505D71"/>
    <w:rsid w:val="00512ECD"/>
    <w:rsid w:val="00514EB5"/>
    <w:rsid w:val="0052184E"/>
    <w:rsid w:val="00523F83"/>
    <w:rsid w:val="00526889"/>
    <w:rsid w:val="00530445"/>
    <w:rsid w:val="005358D2"/>
    <w:rsid w:val="005436F3"/>
    <w:rsid w:val="00543F1A"/>
    <w:rsid w:val="005454CE"/>
    <w:rsid w:val="00546D7A"/>
    <w:rsid w:val="00561C79"/>
    <w:rsid w:val="00572790"/>
    <w:rsid w:val="00573CE9"/>
    <w:rsid w:val="00580D7F"/>
    <w:rsid w:val="00581D30"/>
    <w:rsid w:val="00582A0C"/>
    <w:rsid w:val="00584F0C"/>
    <w:rsid w:val="00585291"/>
    <w:rsid w:val="00586FBE"/>
    <w:rsid w:val="00591296"/>
    <w:rsid w:val="00592295"/>
    <w:rsid w:val="00597AD5"/>
    <w:rsid w:val="005A4F3D"/>
    <w:rsid w:val="005B0718"/>
    <w:rsid w:val="005B1EA0"/>
    <w:rsid w:val="005B4657"/>
    <w:rsid w:val="005B6C47"/>
    <w:rsid w:val="005B7715"/>
    <w:rsid w:val="005C1F23"/>
    <w:rsid w:val="005C2630"/>
    <w:rsid w:val="005D4461"/>
    <w:rsid w:val="005D4E30"/>
    <w:rsid w:val="005D71F9"/>
    <w:rsid w:val="005D763E"/>
    <w:rsid w:val="005E3370"/>
    <w:rsid w:val="005F06F0"/>
    <w:rsid w:val="005F13D7"/>
    <w:rsid w:val="005F3A52"/>
    <w:rsid w:val="005F4B4F"/>
    <w:rsid w:val="005F50A4"/>
    <w:rsid w:val="006000A7"/>
    <w:rsid w:val="00602052"/>
    <w:rsid w:val="006021F3"/>
    <w:rsid w:val="006028B0"/>
    <w:rsid w:val="006054EA"/>
    <w:rsid w:val="006055D5"/>
    <w:rsid w:val="00605FA6"/>
    <w:rsid w:val="00613F12"/>
    <w:rsid w:val="00614684"/>
    <w:rsid w:val="00616271"/>
    <w:rsid w:val="006179C0"/>
    <w:rsid w:val="006202DC"/>
    <w:rsid w:val="00630C93"/>
    <w:rsid w:val="006321C6"/>
    <w:rsid w:val="00634414"/>
    <w:rsid w:val="00634499"/>
    <w:rsid w:val="0063630C"/>
    <w:rsid w:val="006449F8"/>
    <w:rsid w:val="00645064"/>
    <w:rsid w:val="00645E4A"/>
    <w:rsid w:val="006551B5"/>
    <w:rsid w:val="00661125"/>
    <w:rsid w:val="00661C95"/>
    <w:rsid w:val="00667BE7"/>
    <w:rsid w:val="0067612E"/>
    <w:rsid w:val="0067652B"/>
    <w:rsid w:val="0068168E"/>
    <w:rsid w:val="006820E2"/>
    <w:rsid w:val="00682A69"/>
    <w:rsid w:val="00683548"/>
    <w:rsid w:val="006856C7"/>
    <w:rsid w:val="0068704F"/>
    <w:rsid w:val="006920C3"/>
    <w:rsid w:val="00693D85"/>
    <w:rsid w:val="006A0BBF"/>
    <w:rsid w:val="006A0C98"/>
    <w:rsid w:val="006A148D"/>
    <w:rsid w:val="006A64A3"/>
    <w:rsid w:val="006B0607"/>
    <w:rsid w:val="006B154F"/>
    <w:rsid w:val="006B1A76"/>
    <w:rsid w:val="006B2007"/>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46AD"/>
    <w:rsid w:val="007054E2"/>
    <w:rsid w:val="007070DC"/>
    <w:rsid w:val="00724449"/>
    <w:rsid w:val="0073594D"/>
    <w:rsid w:val="00742B19"/>
    <w:rsid w:val="0074604A"/>
    <w:rsid w:val="0075110B"/>
    <w:rsid w:val="00752D0D"/>
    <w:rsid w:val="00753B1F"/>
    <w:rsid w:val="0075596F"/>
    <w:rsid w:val="00765AF4"/>
    <w:rsid w:val="00781113"/>
    <w:rsid w:val="00783D9E"/>
    <w:rsid w:val="00784186"/>
    <w:rsid w:val="0078545D"/>
    <w:rsid w:val="007857B6"/>
    <w:rsid w:val="007868C7"/>
    <w:rsid w:val="00786A2E"/>
    <w:rsid w:val="007876DB"/>
    <w:rsid w:val="00790419"/>
    <w:rsid w:val="0079157F"/>
    <w:rsid w:val="00792F0D"/>
    <w:rsid w:val="00794557"/>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3AE3"/>
    <w:rsid w:val="007D6DD6"/>
    <w:rsid w:val="007D77A3"/>
    <w:rsid w:val="007E1985"/>
    <w:rsid w:val="007E58AC"/>
    <w:rsid w:val="007E762E"/>
    <w:rsid w:val="007E79CE"/>
    <w:rsid w:val="007F2D84"/>
    <w:rsid w:val="007F4338"/>
    <w:rsid w:val="007F4F46"/>
    <w:rsid w:val="00800DAD"/>
    <w:rsid w:val="00810B30"/>
    <w:rsid w:val="00814D6D"/>
    <w:rsid w:val="008229D5"/>
    <w:rsid w:val="00823209"/>
    <w:rsid w:val="00831368"/>
    <w:rsid w:val="00847093"/>
    <w:rsid w:val="00847AE5"/>
    <w:rsid w:val="00851C40"/>
    <w:rsid w:val="008527B9"/>
    <w:rsid w:val="008548DC"/>
    <w:rsid w:val="00854CEA"/>
    <w:rsid w:val="0085519E"/>
    <w:rsid w:val="00855311"/>
    <w:rsid w:val="0085700F"/>
    <w:rsid w:val="00857BEC"/>
    <w:rsid w:val="008616CE"/>
    <w:rsid w:val="00864333"/>
    <w:rsid w:val="00864455"/>
    <w:rsid w:val="00864876"/>
    <w:rsid w:val="00866314"/>
    <w:rsid w:val="00867A57"/>
    <w:rsid w:val="00867D31"/>
    <w:rsid w:val="0087082E"/>
    <w:rsid w:val="0087310D"/>
    <w:rsid w:val="008758D5"/>
    <w:rsid w:val="0088714F"/>
    <w:rsid w:val="00887552"/>
    <w:rsid w:val="0089154A"/>
    <w:rsid w:val="00893021"/>
    <w:rsid w:val="008967EF"/>
    <w:rsid w:val="00896E4F"/>
    <w:rsid w:val="008A2AB3"/>
    <w:rsid w:val="008A31FD"/>
    <w:rsid w:val="008A4DA1"/>
    <w:rsid w:val="008B2945"/>
    <w:rsid w:val="008B523F"/>
    <w:rsid w:val="008B597B"/>
    <w:rsid w:val="008C15B9"/>
    <w:rsid w:val="008C2FB6"/>
    <w:rsid w:val="008C56E6"/>
    <w:rsid w:val="008D0873"/>
    <w:rsid w:val="008D4A91"/>
    <w:rsid w:val="008D5701"/>
    <w:rsid w:val="008D6CF2"/>
    <w:rsid w:val="008D72A4"/>
    <w:rsid w:val="008E04ED"/>
    <w:rsid w:val="008E2E3F"/>
    <w:rsid w:val="008E3435"/>
    <w:rsid w:val="008E6B74"/>
    <w:rsid w:val="008E6CC7"/>
    <w:rsid w:val="008E7EBC"/>
    <w:rsid w:val="008E7F7E"/>
    <w:rsid w:val="008F345C"/>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6FAE"/>
    <w:rsid w:val="0094770B"/>
    <w:rsid w:val="0095114F"/>
    <w:rsid w:val="0095249F"/>
    <w:rsid w:val="00953EF9"/>
    <w:rsid w:val="00954976"/>
    <w:rsid w:val="00954F03"/>
    <w:rsid w:val="00956D40"/>
    <w:rsid w:val="00957486"/>
    <w:rsid w:val="00961EE8"/>
    <w:rsid w:val="00974DFB"/>
    <w:rsid w:val="00977F64"/>
    <w:rsid w:val="00982602"/>
    <w:rsid w:val="0098454E"/>
    <w:rsid w:val="00987201"/>
    <w:rsid w:val="0099282C"/>
    <w:rsid w:val="009A0F98"/>
    <w:rsid w:val="009A2721"/>
    <w:rsid w:val="009A385C"/>
    <w:rsid w:val="009A659A"/>
    <w:rsid w:val="009B0C49"/>
    <w:rsid w:val="009B6017"/>
    <w:rsid w:val="009B7DB3"/>
    <w:rsid w:val="009C2A23"/>
    <w:rsid w:val="009C6595"/>
    <w:rsid w:val="009D1C43"/>
    <w:rsid w:val="009D3020"/>
    <w:rsid w:val="009D3B05"/>
    <w:rsid w:val="009D546A"/>
    <w:rsid w:val="009E595B"/>
    <w:rsid w:val="009E7629"/>
    <w:rsid w:val="009F052C"/>
    <w:rsid w:val="009F0857"/>
    <w:rsid w:val="009F588B"/>
    <w:rsid w:val="00A02819"/>
    <w:rsid w:val="00A033DC"/>
    <w:rsid w:val="00A10C62"/>
    <w:rsid w:val="00A12189"/>
    <w:rsid w:val="00A127AC"/>
    <w:rsid w:val="00A13E13"/>
    <w:rsid w:val="00A13E46"/>
    <w:rsid w:val="00A177A4"/>
    <w:rsid w:val="00A206DD"/>
    <w:rsid w:val="00A21C2F"/>
    <w:rsid w:val="00A2283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67347"/>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123F"/>
    <w:rsid w:val="00AF4641"/>
    <w:rsid w:val="00AF635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353"/>
    <w:rsid w:val="00B775D3"/>
    <w:rsid w:val="00B8748D"/>
    <w:rsid w:val="00B903D3"/>
    <w:rsid w:val="00B95BF4"/>
    <w:rsid w:val="00BA5FCE"/>
    <w:rsid w:val="00BA6039"/>
    <w:rsid w:val="00BA66C1"/>
    <w:rsid w:val="00BA67A4"/>
    <w:rsid w:val="00BB0CEC"/>
    <w:rsid w:val="00BB20D2"/>
    <w:rsid w:val="00BB497B"/>
    <w:rsid w:val="00BB4BD4"/>
    <w:rsid w:val="00BB4E54"/>
    <w:rsid w:val="00BB78D3"/>
    <w:rsid w:val="00BC0C1A"/>
    <w:rsid w:val="00BC1981"/>
    <w:rsid w:val="00BC3DE2"/>
    <w:rsid w:val="00BC4A58"/>
    <w:rsid w:val="00BC4E79"/>
    <w:rsid w:val="00BC510C"/>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697C"/>
    <w:rsid w:val="00C3770B"/>
    <w:rsid w:val="00C407C2"/>
    <w:rsid w:val="00C419E7"/>
    <w:rsid w:val="00C45A1C"/>
    <w:rsid w:val="00C532CE"/>
    <w:rsid w:val="00C53909"/>
    <w:rsid w:val="00C53BD1"/>
    <w:rsid w:val="00C55993"/>
    <w:rsid w:val="00C57436"/>
    <w:rsid w:val="00C62674"/>
    <w:rsid w:val="00C637B5"/>
    <w:rsid w:val="00C63C38"/>
    <w:rsid w:val="00C64647"/>
    <w:rsid w:val="00C6508F"/>
    <w:rsid w:val="00C65E61"/>
    <w:rsid w:val="00C706E3"/>
    <w:rsid w:val="00C81A69"/>
    <w:rsid w:val="00C8306E"/>
    <w:rsid w:val="00C85552"/>
    <w:rsid w:val="00C90D12"/>
    <w:rsid w:val="00C92968"/>
    <w:rsid w:val="00C95B40"/>
    <w:rsid w:val="00C960EB"/>
    <w:rsid w:val="00C9757D"/>
    <w:rsid w:val="00CA3FA6"/>
    <w:rsid w:val="00CA7A2E"/>
    <w:rsid w:val="00CB251A"/>
    <w:rsid w:val="00CC1A0F"/>
    <w:rsid w:val="00CC367E"/>
    <w:rsid w:val="00CC3B16"/>
    <w:rsid w:val="00CD14B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58E5"/>
    <w:rsid w:val="00D37056"/>
    <w:rsid w:val="00D40700"/>
    <w:rsid w:val="00D44972"/>
    <w:rsid w:val="00D46504"/>
    <w:rsid w:val="00D47D8D"/>
    <w:rsid w:val="00D533E9"/>
    <w:rsid w:val="00D541DB"/>
    <w:rsid w:val="00D55915"/>
    <w:rsid w:val="00D60FF1"/>
    <w:rsid w:val="00D6121D"/>
    <w:rsid w:val="00D6161E"/>
    <w:rsid w:val="00D66911"/>
    <w:rsid w:val="00D67A69"/>
    <w:rsid w:val="00D71774"/>
    <w:rsid w:val="00D72B0E"/>
    <w:rsid w:val="00D72E53"/>
    <w:rsid w:val="00D73B2F"/>
    <w:rsid w:val="00D73F90"/>
    <w:rsid w:val="00D8281E"/>
    <w:rsid w:val="00D82837"/>
    <w:rsid w:val="00D82D37"/>
    <w:rsid w:val="00D8729C"/>
    <w:rsid w:val="00D9700C"/>
    <w:rsid w:val="00DA47C2"/>
    <w:rsid w:val="00DA654E"/>
    <w:rsid w:val="00DB70A4"/>
    <w:rsid w:val="00DB7613"/>
    <w:rsid w:val="00DC3457"/>
    <w:rsid w:val="00DC4AE7"/>
    <w:rsid w:val="00DC72A3"/>
    <w:rsid w:val="00DD1940"/>
    <w:rsid w:val="00DD3488"/>
    <w:rsid w:val="00DD3CF2"/>
    <w:rsid w:val="00DE0B25"/>
    <w:rsid w:val="00DE116D"/>
    <w:rsid w:val="00DE2C6B"/>
    <w:rsid w:val="00DF102A"/>
    <w:rsid w:val="00DF12B6"/>
    <w:rsid w:val="00DF5B43"/>
    <w:rsid w:val="00DF5CF7"/>
    <w:rsid w:val="00E01A2F"/>
    <w:rsid w:val="00E02EEA"/>
    <w:rsid w:val="00E03620"/>
    <w:rsid w:val="00E04F19"/>
    <w:rsid w:val="00E06BD4"/>
    <w:rsid w:val="00E20A77"/>
    <w:rsid w:val="00E24368"/>
    <w:rsid w:val="00E25AFA"/>
    <w:rsid w:val="00E2736B"/>
    <w:rsid w:val="00E27CFF"/>
    <w:rsid w:val="00E354C0"/>
    <w:rsid w:val="00E35A6B"/>
    <w:rsid w:val="00E40234"/>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014E"/>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1A13"/>
    <w:rsid w:val="00EB3117"/>
    <w:rsid w:val="00EB68AA"/>
    <w:rsid w:val="00EC0EC2"/>
    <w:rsid w:val="00EC3896"/>
    <w:rsid w:val="00EC5C9B"/>
    <w:rsid w:val="00EC69CF"/>
    <w:rsid w:val="00ED0BF7"/>
    <w:rsid w:val="00ED1039"/>
    <w:rsid w:val="00ED4FC0"/>
    <w:rsid w:val="00ED52BC"/>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681"/>
    <w:rsid w:val="00F13FB4"/>
    <w:rsid w:val="00F202C1"/>
    <w:rsid w:val="00F22951"/>
    <w:rsid w:val="00F26FBE"/>
    <w:rsid w:val="00F360FB"/>
    <w:rsid w:val="00F36386"/>
    <w:rsid w:val="00F40365"/>
    <w:rsid w:val="00F42A07"/>
    <w:rsid w:val="00F43392"/>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3AF3"/>
    <w:rsid w:val="00FC5C29"/>
    <w:rsid w:val="00FD0D41"/>
    <w:rsid w:val="00FD1C8A"/>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22E17418"/>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fr-FR"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link w:val="KopfzeileZchn"/>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fr-FR"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fr-FR"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fr-FR"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fr-FR"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Textkrper-Zeileneinzug">
    <w:name w:val="Body Text Indent"/>
    <w:basedOn w:val="Standard"/>
    <w:link w:val="Textkrper-ZeileneinzugZchn"/>
    <w:uiPriority w:val="99"/>
    <w:unhideWhenUsed/>
    <w:rsid w:val="007D3AE3"/>
    <w:pPr>
      <w:spacing w:after="120"/>
      <w:ind w:left="283"/>
    </w:pPr>
    <w:rPr>
      <w:lang w:val="en-US"/>
    </w:rPr>
  </w:style>
  <w:style w:type="character" w:customStyle="1" w:styleId="Textkrper-ZeileneinzugZchn">
    <w:name w:val="Textkörper-Zeileneinzug Zchn"/>
    <w:basedOn w:val="Absatz-Standardschriftart"/>
    <w:link w:val="Textkrper-Zeileneinzug"/>
    <w:uiPriority w:val="99"/>
    <w:rsid w:val="007D3AE3"/>
    <w:rPr>
      <w:rFonts w:ascii="Arial" w:hAnsi="Arial"/>
      <w:szCs w:val="24"/>
      <w:lang w:val="en-US" w:eastAsia="zh-TW"/>
    </w:rPr>
  </w:style>
  <w:style w:type="character" w:customStyle="1" w:styleId="KopfzeileZchn">
    <w:name w:val="Kopfzeile Zchn"/>
    <w:link w:val="Kopfzeile"/>
    <w:rsid w:val="007D3AE3"/>
    <w:rPr>
      <w:rFonts w:ascii="Arial" w:hAnsi="Arial"/>
      <w:szCs w:val="24"/>
      <w:lang w:eastAsia="zh-TW"/>
    </w:rPr>
  </w:style>
  <w:style w:type="paragraph" w:styleId="KeinLeerraum">
    <w:name w:val="No Spacing"/>
    <w:qFormat/>
    <w:rsid w:val="007D3AE3"/>
    <w:rPr>
      <w:rFonts w:ascii="Arial" w:hAnsi="Arial"/>
      <w:szCs w:val="24"/>
      <w:lang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fronius.com/en/welding-technology/infocentre/press" TargetMode="External"/><Relationship Id="rId26" Type="http://schemas.openxmlformats.org/officeDocument/2006/relationships/customXml" Target="../customXml/item6.xml"/><Relationship Id="rId3" Type="http://schemas.openxmlformats.org/officeDocument/2006/relationships/customXml" Target="../customXml/item3.xml"/><Relationship Id="rId21" Type="http://schemas.openxmlformats.org/officeDocument/2006/relationships/hyperlink" Target="mailto:Kirsten.Ludwig@a1kommunikation.de" TargetMode="Externa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mailto:Andraud.Arthy@fronius.co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hyperlink" Target="http://www.fronius.com/de/schweisstechnik/infocenter/presse" TargetMode="External"/><Relationship Id="rId10" Type="http://schemas.openxmlformats.org/officeDocument/2006/relationships/footnotes" Target="footnotes.xml"/><Relationship Id="rId19" Type="http://schemas.openxmlformats.org/officeDocument/2006/relationships/hyperlink" Target="mailto:Roy.Sabrina@fronius.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hyperlink" Target="mailto:KLU@a1kommunikation.de?subject=Fronius%20Perfect%20Welding:%20UNSUBSCRIB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3e123716-e57e-43df-bff4-d192656f6566" ContentTypeId="0x01" PreviousValue="false"/>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itle_TI_PT xmlns="dc0c2c3d-e9fc-4a0d-820b-87ab82e65f20">TPS/i TWIN Push</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TPS/i TWIN Push</title_TI_DA>
    <Web_x0020_Display_x0020_Title_x0020_ET xmlns="dc0c2c3d-e9fc-4a0d-820b-87ab82e65f20">TPS/i TWIN Push</Web_x0020_Display_x0020_Title_x0020_ET>
    <title_ti_fi xmlns="dc0c2c3d-e9fc-4a0d-820b-87ab82e65f20">TPS/i TWIN Push</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62430406562456c9289cb18a9752f33>
    <title_TI_TR xmlns="dc0c2c3d-e9fc-4a0d-820b-87ab82e65f20">TPS/i TWIN Push</title_TI_TR>
    <countryok xmlns="dc0c2c3d-e9fc-4a0d-820b-87ab82e65f20">true</countryok>
    <Documenttype_ES xmlns="dc0c2c3d-e9fc-4a0d-820b-87ab82e65f20">Información de prensa</Documenttype_ES>
    <title_ti_nb xmlns="dc0c2c3d-e9fc-4a0d-820b-87ab82e65f20">TPS/i TWIN Push</title_ti_nb>
    <title_TI_ES xmlns="dc0c2c3d-e9fc-4a0d-820b-87ab82e65f20">TPS/i TWIN Push</title_TI_ES>
    <Documenttype_TR xmlns="dc0c2c3d-e9fc-4a0d-820b-87ab82e65f20">Basın bülteni</Documenttype_TR>
    <VersionInternal xmlns="dc0c2c3d-e9fc-4a0d-820b-87ab82e65f20">0</VersionInternal>
    <TaxCatchAll xmlns="92f60987-cbcc-4245-baaf-239af3bfd6e8">
      <Value>261</Value>
    </TaxCatchAll>
    <Resolution xmlns="dc0c2c3d-e9fc-4a0d-820b-87ab82e65f20" xsi:nil="true"/>
    <Country xmlns="dc0c2c3d-e9fc-4a0d-820b-87ab82e65f20">
      <Value>17</Value>
    </Country>
    <title_TI_DE xmlns="dc0c2c3d-e9fc-4a0d-820b-87ab82e65f20">TPS/i TWIN Push</title_TI_DE>
    <title_TI_HU xmlns="dc0c2c3d-e9fc-4a0d-820b-87ab82e65f20">TPS/i TWIN Push</title_TI_HU>
    <AGB xmlns="dc0c2c3d-e9fc-4a0d-820b-87ab82e65f20">false</AGB>
    <MRMKeyWords xmlns="dc0c2c3d-e9fc-4a0d-820b-87ab82e65f20">#TPS/i#Hochleistungs-Schweißen#Twin#Tandemprozess#TPS/i TWIN Push#high performance welding#Tandem process#tps i#hochleistungs-schweißen#twin#tps/i#highperformancewelding#tandemprozess#tps/itwinpush#</MRMKeyWords>
    <Documenttype_TH xmlns="dc0c2c3d-e9fc-4a0d-820b-87ab82e65f20">ข่าวประชาสัมพันธ์</Documenttype_TH>
    <Documenttype_NL xmlns="dc0c2c3d-e9fc-4a0d-820b-87ab82e65f20">Persbericht</Documenttype_NL>
    <fro_spid xmlns="dc0c2c3d-e9fc-4a0d-820b-87ab82e65f20">9569;SE</fro_spid>
    <Colour_x0020_space xmlns="dc0c2c3d-e9fc-4a0d-820b-87ab82e65f20" xsi:nil="true"/>
    <title_TI_EA xmlns="dc0c2c3d-e9fc-4a0d-820b-87ab82e65f20">TPS/i TWIN Push</title_TI_EA>
    <Fecha xmlns="53041210-5658-4a0d-8a74-f9413e00f15b" xsi:nil="true"/>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C-100398</contentservId>
    <title_TI_RO xmlns="dc0c2c3d-e9fc-4a0d-820b-87ab82e65f20">TPS/i TWIN Push</title_TI_RO>
    <title_TI_SK xmlns="dc0c2c3d-e9fc-4a0d-820b-87ab82e65f20">TPS/i TWIN Push</title_TI_SK>
    <Update xmlns="dc0c2c3d-e9fc-4a0d-820b-87ab82e65f20">150620</Update>
    <Documenttype_AR xmlns="dc0c2c3d-e9fc-4a0d-820b-87ab82e65f20">Press Release</Documenttype_AR>
    <title_TI_IT xmlns="dc0c2c3d-e9fc-4a0d-820b-87ab82e65f20">TPS/i TWIN Push</title_TI_IT>
    <title_ti_zh xmlns="dc0c2c3d-e9fc-4a0d-820b-87ab82e65f20">TPS/i TWIN Push</title_ti_zh>
    <Division xmlns="dc0c2c3d-e9fc-4a0d-820b-87ab82e65f20">Perfect Welding</Division>
    <title_TI_UA xmlns="dc0c2c3d-e9fc-4a0d-820b-87ab82e65f20">TPS/i TWIN Push</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false</FSM>
    <title_TI_FR xmlns="dc0c2c3d-e9fc-4a0d-820b-87ab82e65f20">TPS/i TWIN Push</title_TI_FR>
    <MRMID xmlns="dc0c2c3d-e9fc-4a0d-820b-87ab82e65f20">M-128435</MRMID>
    <Documenttype_UK xmlns="dc0c2c3d-e9fc-4a0d-820b-87ab82e65f20">Прес-релізи</Documenttype_UK>
    <title_TI_CS xmlns="dc0c2c3d-e9fc-4a0d-820b-87ab82e65f20">TPS/i TWIN Push</title_TI_CS>
    <Documenttype_FR xmlns="dc0c2c3d-e9fc-4a0d-820b-87ab82e65f20">Communiqué de presse</Documenttype_FR>
    <Documenttype_EN xmlns="dc0c2c3d-e9fc-4a0d-820b-87ab82e65f20">Press Release</Documenttype_EN>
    <FileMaster xmlns="dc0c2c3d-e9fc-4a0d-820b-87ab82e65f20">C-100392</FileMaster>
    <icfaae38c4274413b390559439863f3e xmlns="dc0c2c3d-e9fc-4a0d-820b-87ab82e65f20">
      <Terms xmlns="http://schemas.microsoft.com/office/infopath/2007/PartnerControls"/>
    </icfaae38c4274413b390559439863f3e>
    <title_TI_NL xmlns="dc0c2c3d-e9fc-4a0d-820b-87ab82e65f20">TPS/i TWIN Push</title_TI_NL>
    <title_TI_PL xmlns="dc0c2c3d-e9fc-4a0d-820b-87ab82e65f20">TPS/i TWIN Push</title_TI_PL>
    <title_TI_TH xmlns="dc0c2c3d-e9fc-4a0d-820b-87ab82e65f20">TPS/i TWIN Push</title_TI_TH>
    <Documenttype_DA xmlns="dc0c2c3d-e9fc-4a0d-820b-87ab82e65f20">Presseinformationer</Documenttype_DA>
    <Documenttype_HU xmlns="dc0c2c3d-e9fc-4a0d-820b-87ab82e65f20">Sajtóinformáció</Documenttype_HU>
    <title_TI_JP xmlns="dc0c2c3d-e9fc-4a0d-820b-87ab82e65f20">TPS/i TWIN Push</title_TI_JP>
    <title_TI_RU xmlns="dc0c2c3d-e9fc-4a0d-820b-87ab82e65f20">TPS/i TWIN Push</title_TI_RU>
    <Documenttype_PL xmlns="dc0c2c3d-e9fc-4a0d-820b-87ab82e65f20">Informacja prasowe</Documenttype_PL>
    <Licence_x0020_information xmlns="dc0c2c3d-e9fc-4a0d-820b-87ab82e65f20">(c) Fronius International</Licence_x0020_information>
    <title_TI_NO xmlns="dc0c2c3d-e9fc-4a0d-820b-87ab82e65f20">TPS/i TWIN Push</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TPS/i TWIN Push</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TPS/i TWIN Push</title_TI_JA>
    <Documenttype_IT xmlns="dc0c2c3d-e9fc-4a0d-820b-87ab82e65f20">Comunicato stampa</Documenttype_IT>
    <Country_x0020_Quick_x0020_Select xmlns="dc0c2c3d-e9fc-4a0d-820b-87ab82e65f20">Select...</Country_x0020_Quick_x0020_Select>
    <title_TI_EN xmlns="dc0c2c3d-e9fc-4a0d-820b-87ab82e65f20">TPS/i TWIN Push</title_TI_EN>
    <title_TI_AR xmlns="dc0c2c3d-e9fc-4a0d-820b-87ab82e65f20">TPS/i TWIN Push</title_TI_AR>
    <title_TI_SV xmlns="dc0c2c3d-e9fc-4a0d-820b-87ab82e65f20">TPS/i TWIN Push</title_TI_SV>
    <Documenttype_CS xmlns="dc0c2c3d-e9fc-4a0d-820b-87ab82e65f20">Tisková zpráva</Documenttype_CS>
    <TitelInternal xmlns="dc0c2c3d-e9fc-4a0d-820b-87ab82e65f20">PW_PR_TPSi_TWIN_FR</TitelInternal>
    <title_ti_uk xmlns="dc0c2c3d-e9fc-4a0d-820b-87ab82e65f20">TPS/i TWIN Push</title_ti_uk>
    <Description0 xmlns="53041210-5658-4a0d-8a74-f9413e00f15b" xsi:nil="true"/>
    <FroCountryExclusive xmlns="dc0c2c3d-e9fc-4a0d-820b-87ab82e65f20">No</FroCountryExclusive>
    <_dlc_DocId xmlns="92f60987-cbcc-4245-baaf-239af3bfd6e8">3457UUQQYVA2-1576582820-9569</_dlc_DocId>
    <_dlc_DocIdUrl xmlns="92f60987-cbcc-4245-baaf-239af3bfd6e8">
      <Url>https://downloads.fronius.com/_layouts/15/DocIdRedir.aspx?ID=3457UUQQYVA2-1576582820-9569</Url>
      <Description>3457UUQQYVA2-1576582820-9569</Description>
    </_dlc_DocIdUrl>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mso-contentType ?>
<spe:Receivers xmlns:spe="http://schemas.microsoft.com/sharepoint/events"/>
</file>

<file path=customXml/itemProps1.xml><?xml version="1.0" encoding="utf-8"?>
<ds:datastoreItem xmlns:ds="http://schemas.openxmlformats.org/officeDocument/2006/customXml" ds:itemID="{2535C5AC-4FCE-4C94-B1B2-D6B6E45A9F71}">
  <ds:schemaRefs>
    <ds:schemaRef ds:uri="Microsoft.SharePoint.Taxonomy.ContentTypeSync"/>
  </ds:schemaRefs>
</ds:datastoreItem>
</file>

<file path=customXml/itemProps2.xml><?xml version="1.0" encoding="utf-8"?>
<ds:datastoreItem xmlns:ds="http://schemas.openxmlformats.org/officeDocument/2006/customXml" ds:itemID="{7153C111-D964-4160-8103-0C83E32B66E7}">
  <ds:schemaRefs>
    <ds:schemaRef ds:uri="http://schemas.microsoft.com/sharepoint/v3/contenttype/forms"/>
  </ds:schemaRefs>
</ds:datastoreItem>
</file>

<file path=customXml/itemProps3.xml><?xml version="1.0" encoding="utf-8"?>
<ds:datastoreItem xmlns:ds="http://schemas.openxmlformats.org/officeDocument/2006/customXml" ds:itemID="{33F9725C-4CF3-4B24-A2D0-7282AFA2A3B5}"/>
</file>

<file path=customXml/itemProps4.xml><?xml version="1.0" encoding="utf-8"?>
<ds:datastoreItem xmlns:ds="http://schemas.openxmlformats.org/officeDocument/2006/customXml" ds:itemID="{217FCCAA-73EC-4783-BF30-81A113295114}">
  <ds:schemaRefs>
    <ds:schemaRef ds:uri="http://schemas.microsoft.com/office/2006/documentManagement/types"/>
    <ds:schemaRef ds:uri="http://purl.org/dc/elements/1.1/"/>
    <ds:schemaRef ds:uri="09f5b0be-d4a0-434e-b63f-a971eba1ef82"/>
    <ds:schemaRef ds:uri="http://schemas.microsoft.com/office/infopath/2007/PartnerControls"/>
    <ds:schemaRef ds:uri="http://purl.org/dc/terms/"/>
    <ds:schemaRef ds:uri="http://schemas.openxmlformats.org/package/2006/metadata/core-properties"/>
    <ds:schemaRef ds:uri="13f237e8-c27e-45f6-b956-d68020af6c09"/>
    <ds:schemaRef ds:uri="http://schemas.microsoft.com/office/2006/metadata/properties"/>
    <ds:schemaRef ds:uri="http://www.w3.org/XML/1998/namespace"/>
    <ds:schemaRef ds:uri="http://purl.org/dc/dcmitype/"/>
  </ds:schemaRefs>
</ds:datastoreItem>
</file>

<file path=customXml/itemProps5.xml><?xml version="1.0" encoding="utf-8"?>
<ds:datastoreItem xmlns:ds="http://schemas.openxmlformats.org/officeDocument/2006/customXml" ds:itemID="{0C5E8944-E5D7-450B-82C7-9122561EBDF0}">
  <ds:schemaRefs>
    <ds:schemaRef ds:uri="http://schemas.openxmlformats.org/officeDocument/2006/bibliography"/>
  </ds:schemaRefs>
</ds:datastoreItem>
</file>

<file path=customXml/itemProps6.xml><?xml version="1.0" encoding="utf-8"?>
<ds:datastoreItem xmlns:ds="http://schemas.openxmlformats.org/officeDocument/2006/customXml" ds:itemID="{B313BD20-D7D4-4216-BC28-E80D524790D0}"/>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1240</Words>
  <Characters>8228</Characters>
  <Application>Microsoft Office Word</Application>
  <DocSecurity>4</DocSecurity>
  <Lines>68</Lines>
  <Paragraphs>18</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9450</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PW_PR_TPSi_TWIN_FR</dc:title>
  <dc:subject/>
  <dc:creator>Demirok Fidan</dc:creator>
  <cp:keywords/>
  <cp:lastModifiedBy>Stiglhuber Carolina</cp:lastModifiedBy>
  <cp:revision>2</cp:revision>
  <cp:lastPrinted>2016-07-21T12:13:00Z</cp:lastPrinted>
  <dcterms:created xsi:type="dcterms:W3CDTF">2019-07-08T07:58:00Z</dcterms:created>
  <dcterms:modified xsi:type="dcterms:W3CDTF">2019-07-08T07:58:00Z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o83eafb9fd8f4e0d935a1b8f7d26b594">
    <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6;acbd67c0-feba-4b17-8436-7d8f6d9fec2a,6;beb323fc-0212-4837-8558-f431e1d953f5,92;beb323fc-0212-4837-8558-f431e1d953f5,96;beb323fc-0212-4837-8558-f431e1d953f5,101;f23899af-90e5-4213-b122-4e07c0f837c2,105;f23899af-90e5-4213-b122-4e07c0f837c2,109;f23899af-90e5-4213-b122-4e07c0f837c2,112;f23899af-90e5-4213-b122-4e07c0f837c2,115;f23899af-90e5-4213-b122-4e07c0f837c2,118;f23899af-90e5-4213-b122-4e07c0f837c2,121;f23899af-90e5-4213-b122-4e07c0f837c2,124;f23899af-90e5-4213-b122-4e07c0f837c2,127;f23899af-90e5-4213-b122-4e07c0f837c2,133;f23899af-90e5-4213-b122-4e07c0f837c2,136;f23899af-90e5-4213-b122-4e07c0f837c2,139;f23899af-90e5-4213-b122-4e07c0f837c2,143;f23899af-90e5-4213-b122-4e07c0f837c2,147;f23899af-90e5-4213-b122-4e07c0f837c2,150;f23899af-90e5-4213-b122-4e07c0f837c2,154;f23899af-90e5-4213-b122-4e07c0f837c2,158;f23899af-90e5-4213-b122-4e07c0f837c2,161;f23899af-90e5-4213-b122-4e07c0f837c2,165;f23899af-90e5-4213-b122-4e07c0f837c2,168;f23899af-90e5-4213-b122-4e07c0f837c2,171;f23899af-90e5-4213-b122-4e07c0f837c2,175;f23899af-90e5-4213-b122-4e07c0f837c2,178;f23899af-90e5-4213-b122-4e07c0f837c2,182;f23899af-90e5-4213-b122-4e07c0f837c2,185;f23899af-90e5-4213-b122-4e07c0f837c2,188;f23899af-90e5-4213-b122-4e07c0f837c2,191;f23899af-90e5-4213-b122-4e07c0f837c2,194;f23899af-90e5-4213-b122-4e07c0f837c2,197;f23899af-90e5-4213-b122-4e07c0f837c2,201;f23899af-90e5-4213-b122-4e07c0f837c2,204;f23899af-90e5-4213-b122-4e07c0f837c2,207;a8dd0ddf-bfd4-44dd-a6bb-0c3c9675194c,211;a8dd0ddf-bfd4-44dd-a6bb-0c3c9675194c,211;6d1b5151-d866-4942-aea1-17c7cb28edce,237;6d1b5151-d866-4942-aea1-17c7cb28edce,241;84063e84-3b90-4264-9d91-20c80f9713f8,293;84063e84-3b90-4264-9d91-20c80f9713f8,293;84063e84-3b90-4264-9d91-20c80f9713f8,297;84063e84-3b90-4264-9d91-20c80f9713f8,310;</vt:lpwstr>
  </property>
  <property fmtid="{D5CDD505-2E9C-101B-9397-08002B2CF9AE}" pid="9" name="Web Display Title SV">
    <vt:lpwstr>TPS/i TWIN Push</vt:lpwstr>
  </property>
  <property fmtid="{D5CDD505-2E9C-101B-9397-08002B2CF9AE}" pid="10" name="_docset_NoMedatataSyncRequired">
    <vt:lpwstr>False</vt:lpwstr>
  </property>
  <property fmtid="{D5CDD505-2E9C-101B-9397-08002B2CF9AE}" pid="11" name="Language">
    <vt:lpwstr>261;##FR|a2603a05-6eff-4a5e-8133-294bf1436696</vt:lpwstr>
  </property>
  <property fmtid="{D5CDD505-2E9C-101B-9397-08002B2CF9AE}" pid="12" name="DisableEventReceiver">
    <vt:bool>false</vt:bool>
  </property>
  <property fmtid="{D5CDD505-2E9C-101B-9397-08002B2CF9AE}" pid="13" name="_dlc_DocIdItemGuid">
    <vt:lpwstr>fde3effc-6507-41d5-bdef-8d71c1ffdc5c</vt:lpwstr>
  </property>
</Properties>
</file>