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Ttulo1"/>
        <w:spacing w:before="0" w:after="0"/>
      </w:pPr>
      <w:r>
        <w:t>COMUNICADO DE PRENSA</w:t>
      </w:r>
    </w:p>
    <w:p w14:paraId="797AF3E2" w14:textId="77777777" w:rsidR="00A206DD" w:rsidRPr="00C16F4D" w:rsidRDefault="00A206DD" w:rsidP="003F6E14">
      <w:pPr>
        <w:rPr>
          <w:rFonts w:cs="Arial"/>
          <w:szCs w:val="20"/>
        </w:rPr>
      </w:pPr>
    </w:p>
    <w:p w14:paraId="7CEB1497" w14:textId="77777777" w:rsidR="003F6E14" w:rsidRPr="00C16F4D" w:rsidRDefault="003F6E14" w:rsidP="003F6E14">
      <w:pPr>
        <w:pStyle w:val="Puesto"/>
        <w:pBdr>
          <w:bottom w:val="none" w:sz="0" w:space="0" w:color="auto"/>
        </w:pBdr>
        <w:spacing w:after="0"/>
        <w:rPr>
          <w:rFonts w:ascii="Arial" w:hAnsi="Arial"/>
          <w:b/>
          <w:color w:val="000000"/>
          <w:sz w:val="28"/>
        </w:rPr>
      </w:pPr>
    </w:p>
    <w:p w14:paraId="6181EFD9" w14:textId="77777777" w:rsidR="00AE2683" w:rsidRPr="00FD0D41" w:rsidRDefault="0068168E" w:rsidP="003F6E14">
      <w:pPr>
        <w:pStyle w:val="Puesto"/>
        <w:pBdr>
          <w:bottom w:val="none" w:sz="0" w:space="0" w:color="auto"/>
        </w:pBdr>
        <w:spacing w:after="0"/>
        <w:rPr>
          <w:rFonts w:ascii="Arial" w:hAnsi="Arial" w:cs="Arial"/>
          <w:b/>
          <w:color w:val="000000"/>
          <w:sz w:val="28"/>
          <w:szCs w:val="22"/>
        </w:rPr>
      </w:pPr>
      <w:r>
        <w:rPr>
          <w:rFonts w:ascii="Arial" w:hAnsi="Arial"/>
          <w:b/>
          <w:color w:val="000000"/>
          <w:sz w:val="28"/>
        </w:rPr>
        <w:t>El dúo perfecto para una mayor eficiencia</w:t>
      </w:r>
    </w:p>
    <w:p w14:paraId="50DB2F93" w14:textId="77777777" w:rsidR="00AE2683" w:rsidRDefault="00742B19" w:rsidP="003F6E14">
      <w:pPr>
        <w:rPr>
          <w:rFonts w:cs="Arial"/>
          <w:b/>
          <w:szCs w:val="20"/>
        </w:rPr>
      </w:pPr>
      <w:r>
        <w:rPr>
          <w:b/>
          <w:szCs w:val="20"/>
        </w:rPr>
        <w:t xml:space="preserve">Soldadura </w:t>
      </w:r>
      <w:proofErr w:type="spellStart"/>
      <w:r>
        <w:rPr>
          <w:b/>
          <w:szCs w:val="20"/>
        </w:rPr>
        <w:t>Tandem</w:t>
      </w:r>
      <w:proofErr w:type="spellEnd"/>
      <w:r>
        <w:rPr>
          <w:b/>
          <w:szCs w:val="20"/>
        </w:rPr>
        <w:t xml:space="preserve"> TPS/i TWIN </w:t>
      </w:r>
      <w:proofErr w:type="spellStart"/>
      <w:r>
        <w:rPr>
          <w:b/>
          <w:szCs w:val="20"/>
        </w:rPr>
        <w:t>Push</w:t>
      </w:r>
      <w:proofErr w:type="spellEnd"/>
      <w:r>
        <w:rPr>
          <w:b/>
          <w:szCs w:val="20"/>
        </w:rPr>
        <w:t xml:space="preserve"> de </w:t>
      </w:r>
      <w:proofErr w:type="spellStart"/>
      <w:r>
        <w:rPr>
          <w:b/>
          <w:szCs w:val="20"/>
        </w:rPr>
        <w:t>Fronius</w:t>
      </w:r>
      <w:proofErr w:type="spellEnd"/>
    </w:p>
    <w:p w14:paraId="03BCE8C8" w14:textId="77777777" w:rsidR="00742B19" w:rsidRPr="00C16F4D" w:rsidRDefault="00742B19" w:rsidP="003F6E14">
      <w:pPr>
        <w:rPr>
          <w:rFonts w:cs="Arial"/>
          <w:b/>
          <w:szCs w:val="20"/>
        </w:rPr>
      </w:pPr>
    </w:p>
    <w:p w14:paraId="013AF3FC" w14:textId="77777777" w:rsidR="00AE2683" w:rsidRPr="00C16F4D" w:rsidRDefault="00AE2683" w:rsidP="003F6E14">
      <w:pPr>
        <w:rPr>
          <w:rFonts w:cs="Arial"/>
          <w:b/>
          <w:szCs w:val="20"/>
        </w:rPr>
      </w:pPr>
    </w:p>
    <w:p w14:paraId="4DAECE48" w14:textId="312B098B" w:rsidR="00283F56" w:rsidRDefault="00283F56" w:rsidP="003F6E14">
      <w:pPr>
        <w:rPr>
          <w:rFonts w:cs="Arial"/>
          <w:b/>
          <w:szCs w:val="20"/>
        </w:rPr>
      </w:pPr>
      <w:proofErr w:type="spellStart"/>
      <w:r>
        <w:rPr>
          <w:b/>
          <w:szCs w:val="20"/>
        </w:rPr>
        <w:t>Fronius</w:t>
      </w:r>
      <w:proofErr w:type="spellEnd"/>
      <w:r>
        <w:rPr>
          <w:b/>
          <w:szCs w:val="20"/>
        </w:rPr>
        <w:t xml:space="preserve"> ofrece su proceso de soldadura </w:t>
      </w:r>
      <w:proofErr w:type="spellStart"/>
      <w:r>
        <w:rPr>
          <w:b/>
          <w:szCs w:val="20"/>
        </w:rPr>
        <w:t>Tandem</w:t>
      </w:r>
      <w:proofErr w:type="spellEnd"/>
      <w:r>
        <w:rPr>
          <w:b/>
          <w:szCs w:val="20"/>
        </w:rPr>
        <w:t xml:space="preserve"> ahora también en la plataforma TPS/i. El sistema de soldadura de alto rendimiento TPS/i TWIN </w:t>
      </w:r>
      <w:proofErr w:type="spellStart"/>
      <w:r>
        <w:rPr>
          <w:b/>
          <w:szCs w:val="20"/>
        </w:rPr>
        <w:t>Push</w:t>
      </w:r>
      <w:proofErr w:type="spellEnd"/>
      <w:r>
        <w:rPr>
          <w:b/>
          <w:szCs w:val="20"/>
        </w:rPr>
        <w:t xml:space="preserve"> no solo es más compacto, más fácil de utilizar e </w:t>
      </w:r>
      <w:proofErr w:type="spellStart"/>
      <w:r>
        <w:rPr>
          <w:b/>
          <w:szCs w:val="20"/>
        </w:rPr>
        <w:t>interconectable</w:t>
      </w:r>
      <w:proofErr w:type="spellEnd"/>
      <w:r>
        <w:rPr>
          <w:b/>
          <w:szCs w:val="20"/>
        </w:rPr>
        <w:t xml:space="preserve">, sino que además perfecciona el proceso de soldadura. Para el usuario, esto se traduce en un aumento de la tasa de deposición, de las velocidades de corte y de la eficiencia durante la producción con menores esfuerzos en los procesos </w:t>
      </w:r>
      <w:r w:rsidR="00C16F4D">
        <w:rPr>
          <w:b/>
          <w:szCs w:val="20"/>
        </w:rPr>
        <w:t xml:space="preserve">de preparación y </w:t>
      </w:r>
      <w:proofErr w:type="spellStart"/>
      <w:r w:rsidR="00C16F4D">
        <w:rPr>
          <w:b/>
          <w:szCs w:val="20"/>
        </w:rPr>
        <w:t>retrabajo</w:t>
      </w:r>
      <w:proofErr w:type="spellEnd"/>
      <w:r w:rsidR="00C16F4D">
        <w:rPr>
          <w:b/>
          <w:szCs w:val="20"/>
        </w:rPr>
        <w:t>.</w:t>
      </w:r>
    </w:p>
    <w:p w14:paraId="347BFB53" w14:textId="77777777" w:rsidR="00AE2683" w:rsidRPr="00C16F4D" w:rsidRDefault="00AE2683" w:rsidP="003F6E14">
      <w:pPr>
        <w:rPr>
          <w:rFonts w:eastAsia="Times New Roman" w:cs="Arial"/>
          <w:b/>
          <w:szCs w:val="20"/>
        </w:rPr>
      </w:pPr>
    </w:p>
    <w:p w14:paraId="136569EF" w14:textId="248AEF25" w:rsidR="005F13D7" w:rsidRDefault="006054EA" w:rsidP="005F13D7">
      <w:pPr>
        <w:rPr>
          <w:rFonts w:cs="Arial"/>
          <w:szCs w:val="20"/>
        </w:rPr>
      </w:pPr>
      <w:r>
        <w:t>La soldadura de alto rendimiento destaca por</w:t>
      </w:r>
      <w:r w:rsidR="009506F0">
        <w:t xml:space="preserve"> su alta tasa de deposición, </w:t>
      </w:r>
      <w:r w:rsidR="004A3B7D">
        <w:t xml:space="preserve">lo </w:t>
      </w:r>
      <w:r w:rsidR="009506F0">
        <w:t xml:space="preserve">que </w:t>
      </w:r>
      <w:r>
        <w:t xml:space="preserve">permite un elevado volumen de cordón o altas velocidades de corte. Esto es importante, sobre todo, a la hora de soldar componentes de gran volumen o cordones largos para maquinaria de construcción, vehículos industriales, piezas de automóvil y construcción naval. El elevado rendimiento del procesador de TPS/i mejora el proceso </w:t>
      </w:r>
      <w:proofErr w:type="spellStart"/>
      <w:r>
        <w:t>Tandem</w:t>
      </w:r>
      <w:proofErr w:type="spellEnd"/>
      <w:r>
        <w:t xml:space="preserve"> sincronizado TWIN </w:t>
      </w:r>
      <w:proofErr w:type="spellStart"/>
      <w:r>
        <w:t>Push</w:t>
      </w:r>
      <w:proofErr w:type="spellEnd"/>
      <w:r>
        <w:t>: El proceso es aún más estable y fiable, y la elevada capacidad de absorción de gaps permite que el usuario ahorre tiempo en la preparació</w:t>
      </w:r>
      <w:r w:rsidR="004A3B7D">
        <w:t>n del componente. También puede</w:t>
      </w:r>
      <w:r>
        <w:t xml:space="preserve"> reducirse </w:t>
      </w:r>
      <w:r w:rsidR="004A3B7D">
        <w:t>el</w:t>
      </w:r>
      <w:r>
        <w:t xml:space="preserve"> </w:t>
      </w:r>
      <w:proofErr w:type="spellStart"/>
      <w:r w:rsidR="004A3B7D">
        <w:t>re</w:t>
      </w:r>
      <w:r>
        <w:t>trabajo</w:t>
      </w:r>
      <w:proofErr w:type="spellEnd"/>
      <w:r>
        <w:t>, ya que el riguroso control del proceso de soldadura permite un desprendimiento de gota controlado y una aportación de calor reducida al componente, dando lugar a resultados sin proyecciones con una deformación mínima.</w:t>
      </w:r>
    </w:p>
    <w:p w14:paraId="349DB3F1" w14:textId="77777777" w:rsidR="00D72E53" w:rsidRPr="00C16F4D" w:rsidRDefault="00D72E53" w:rsidP="008F345C">
      <w:pPr>
        <w:rPr>
          <w:rFonts w:cs="Arial"/>
          <w:szCs w:val="20"/>
        </w:rPr>
      </w:pPr>
    </w:p>
    <w:p w14:paraId="0A2DFC88" w14:textId="3D0EAEE8" w:rsidR="00262FAC" w:rsidRDefault="00ED52BC" w:rsidP="008F345C">
      <w:pPr>
        <w:rPr>
          <w:rFonts w:cs="Arial"/>
          <w:szCs w:val="20"/>
        </w:rPr>
      </w:pPr>
      <w:proofErr w:type="spellStart"/>
      <w:r>
        <w:t>Fronius</w:t>
      </w:r>
      <w:proofErr w:type="spellEnd"/>
      <w:r>
        <w:t xml:space="preserve"> ofrece nuevas variantes de regulación y procesos con TPS/i TWIN </w:t>
      </w:r>
      <w:proofErr w:type="spellStart"/>
      <w:r>
        <w:t>Push</w:t>
      </w:r>
      <w:proofErr w:type="spellEnd"/>
      <w:r>
        <w:t xml:space="preserve">: PMC (Pulse </w:t>
      </w:r>
      <w:proofErr w:type="spellStart"/>
      <w:r>
        <w:t>Multi</w:t>
      </w:r>
      <w:proofErr w:type="spellEnd"/>
      <w:r>
        <w:t xml:space="preserve"> Control) TWIN destaca por un arco voltaico pulsado breve y enfocado, que permite una mejor penetración y una mayor velocidad de corte. La opción </w:t>
      </w:r>
      <w:proofErr w:type="spellStart"/>
      <w:r>
        <w:t>PulseSync</w:t>
      </w:r>
      <w:proofErr w:type="spellEnd"/>
      <w:r>
        <w:t xml:space="preserve"> permite al usuario elegir velocidades de avance muy diferentes para </w:t>
      </w:r>
      <w:proofErr w:type="gramStart"/>
      <w:r>
        <w:t>ambos</w:t>
      </w:r>
      <w:proofErr w:type="gramEnd"/>
      <w:r>
        <w:t xml:space="preserve"> electrodos de soldadura. Así, este tiene más espacio libre para ajustar los parámetros de soldadura a su componente de forma óptima y para alcanzar velocidades de corte más altas. La fuente de potencia corrige automáticamente todos los parámetros </w:t>
      </w:r>
      <w:r w:rsidR="00F873EC">
        <w:t>necesarios</w:t>
      </w:r>
      <w:r>
        <w:t>, como las propiedades de cebado, el momento del desprendimiento de gota y la relación de impulsos. Además, el soldador cuenta con nuevos mecanismos de control: El estabilizador del arco voltaico y el estabilizador de penetración aumentan la estabilidad del proceso y facilitan la parametrización. Cuando la posición del enlace entre procesos (por ejemplo, debido a una deformación del componente o una sujeción inexacta) varía, la búsqueda de cordones automática sirve de ayuda: Durante la soldadura, el sistema transmite una señal de búsqueda</w:t>
      </w:r>
      <w:r w:rsidR="00F873EC">
        <w:t xml:space="preserve"> de cordones al robot para que é</w:t>
      </w:r>
      <w:r>
        <w:t>ste realice la corrección en caso necesario.</w:t>
      </w:r>
    </w:p>
    <w:p w14:paraId="76F2206F" w14:textId="77777777" w:rsidR="00262FAC" w:rsidRPr="00C16F4D" w:rsidRDefault="00262FAC" w:rsidP="008F345C">
      <w:pPr>
        <w:rPr>
          <w:rFonts w:cs="Arial"/>
          <w:szCs w:val="20"/>
        </w:rPr>
      </w:pPr>
    </w:p>
    <w:p w14:paraId="04512EE7" w14:textId="0E7FF250" w:rsidR="00D73B2F" w:rsidRPr="00742B19" w:rsidRDefault="00742B19" w:rsidP="006054EA">
      <w:pPr>
        <w:rPr>
          <w:rFonts w:cs="Arial"/>
          <w:b/>
          <w:szCs w:val="20"/>
        </w:rPr>
      </w:pPr>
      <w:r>
        <w:rPr>
          <w:b/>
          <w:szCs w:val="20"/>
        </w:rPr>
        <w:t xml:space="preserve">Sistema </w:t>
      </w:r>
      <w:r w:rsidR="00904205">
        <w:rPr>
          <w:b/>
          <w:szCs w:val="20"/>
        </w:rPr>
        <w:t>inteligente</w:t>
      </w:r>
      <w:r>
        <w:rPr>
          <w:b/>
          <w:szCs w:val="20"/>
        </w:rPr>
        <w:t>: vida útil prolongada</w:t>
      </w:r>
    </w:p>
    <w:p w14:paraId="3980F7F6" w14:textId="77777777" w:rsidR="004F2F46" w:rsidRPr="00C16F4D" w:rsidRDefault="004F2F46" w:rsidP="004F2F46">
      <w:pPr>
        <w:rPr>
          <w:rFonts w:cs="Arial"/>
          <w:szCs w:val="20"/>
        </w:rPr>
      </w:pPr>
    </w:p>
    <w:p w14:paraId="23B55A02" w14:textId="0FBE45CB" w:rsidR="008F345C" w:rsidRDefault="004F2F46" w:rsidP="003F6E14">
      <w:pPr>
        <w:rPr>
          <w:rFonts w:cs="Arial"/>
          <w:szCs w:val="20"/>
        </w:rPr>
      </w:pPr>
      <w:r>
        <w:t xml:space="preserve">El proceso TWIN se basa en la soldadura </w:t>
      </w:r>
      <w:proofErr w:type="spellStart"/>
      <w:r>
        <w:t>Tandem</w:t>
      </w:r>
      <w:proofErr w:type="spellEnd"/>
      <w:r>
        <w:t xml:space="preserve">, que consta de la introducción de dos electrodos en una antorcha de soldadura con una tobera de gas común, aunque estos permanecen aislados entre sí eléctricamente. Así, los arcos voltaicos pueden regularse individualmente (incluso con distintas potencias), sincronizarse de manera exacta y ajustarse entre sí. Además de las dos fuentes de potencia TPS/i, el sistema TWIN </w:t>
      </w:r>
      <w:proofErr w:type="spellStart"/>
      <w:r>
        <w:t>Push</w:t>
      </w:r>
      <w:proofErr w:type="spellEnd"/>
      <w:r>
        <w:t xml:space="preserve"> necesita un controlador T</w:t>
      </w:r>
      <w:r w:rsidR="00904205">
        <w:t>WIN. É</w:t>
      </w:r>
      <w:r>
        <w:t>ste sincroniza el proceso de soldadura y funciona como una interfaz compatible con todas las marcas de robots. La velocidad de hilo compacto, la refrigeración, el juego de cables y la antorcha de soldadura TWIN completan el sistema de soldadura.</w:t>
      </w:r>
    </w:p>
    <w:p w14:paraId="7F4AB6B2" w14:textId="77777777" w:rsidR="008F345C" w:rsidRPr="00C16F4D" w:rsidRDefault="008F345C" w:rsidP="003F6E14">
      <w:pPr>
        <w:rPr>
          <w:rFonts w:cs="Arial"/>
          <w:szCs w:val="20"/>
        </w:rPr>
      </w:pPr>
    </w:p>
    <w:p w14:paraId="704FBECD" w14:textId="6C208BC8" w:rsidR="002B21C3" w:rsidRPr="00CB251A" w:rsidRDefault="0068168E" w:rsidP="0068168E">
      <w:pPr>
        <w:rPr>
          <w:rFonts w:cs="Arial"/>
          <w:szCs w:val="20"/>
        </w:rPr>
      </w:pPr>
      <w:r>
        <w:t xml:space="preserve">Los consumibles gozan de una vida útil más larga gracias a la refrigeración mejorada de la antorcha. Además de esto, </w:t>
      </w:r>
      <w:proofErr w:type="spellStart"/>
      <w:r>
        <w:t>Fronius</w:t>
      </w:r>
      <w:proofErr w:type="spellEnd"/>
      <w:r>
        <w:t xml:space="preserve"> ha desarrollado el sistema </w:t>
      </w:r>
      <w:proofErr w:type="spellStart"/>
      <w:r>
        <w:t>Robacta</w:t>
      </w:r>
      <w:proofErr w:type="spellEnd"/>
      <w:r>
        <w:t xml:space="preserve"> TSS/i </w:t>
      </w:r>
      <w:proofErr w:type="spellStart"/>
      <w:r>
        <w:t>TorchServiceStation</w:t>
      </w:r>
      <w:proofErr w:type="spellEnd"/>
      <w:r>
        <w:t>: El sistema de limpieza de la antorcha de soldadura combina distintos métodos, como la limpieza a alta presión, con cepillos, magnética y</w:t>
      </w:r>
      <w:r w:rsidR="00904205">
        <w:t xml:space="preserve"> </w:t>
      </w:r>
      <w:r>
        <w:t>mediante fresa. Este sistema profesional de limpieza de antorcha disminuye los costes totales al prolongar la vida útil de los consumibles.</w:t>
      </w:r>
    </w:p>
    <w:p w14:paraId="3E57AD4B" w14:textId="77777777" w:rsidR="00F13681" w:rsidRPr="00C16F4D" w:rsidRDefault="00F13681" w:rsidP="003F6E14">
      <w:pPr>
        <w:rPr>
          <w:rFonts w:cs="Arial"/>
          <w:szCs w:val="20"/>
        </w:rPr>
      </w:pPr>
    </w:p>
    <w:p w14:paraId="75A3B335" w14:textId="4B6AB510" w:rsidR="00FD1C8A" w:rsidRDefault="001F2E3B" w:rsidP="003F6E14">
      <w:pPr>
        <w:rPr>
          <w:rFonts w:cs="Arial"/>
          <w:szCs w:val="20"/>
        </w:rPr>
      </w:pPr>
      <w:r>
        <w:t>Es posible aumentar todavía más la eficiencia del sistema de soldadura con la estación de cambio de antorcha TX TWIN: La consola posibilita un cambio automático entre los cuerpos de antorcha simples y TWIN. Así, el mismo sistema puede soldar áreas de difícil acceso con el cuerpo más compacto de una antorcha simple. El robot cambia automáticamente los cuerpos de antorcha, por lo que puede no necesitar supervisión.</w:t>
      </w:r>
    </w:p>
    <w:p w14:paraId="44C4E4F1" w14:textId="77777777" w:rsidR="002A1356" w:rsidRPr="00C16F4D" w:rsidRDefault="002A1356" w:rsidP="003F6E14">
      <w:pPr>
        <w:rPr>
          <w:rFonts w:cs="Arial"/>
          <w:szCs w:val="20"/>
        </w:rPr>
      </w:pPr>
    </w:p>
    <w:p w14:paraId="2B09ED4F" w14:textId="6667A21B" w:rsidR="002A4D7F" w:rsidRPr="006D460C" w:rsidRDefault="002A4D7F" w:rsidP="002A4D7F">
      <w:pPr>
        <w:rPr>
          <w:rFonts w:ascii="Calibri" w:hAnsi="Calibri"/>
          <w:i/>
          <w:szCs w:val="20"/>
          <w:lang w:eastAsia="en-US"/>
        </w:rPr>
      </w:pPr>
      <w:r w:rsidRPr="006D460C">
        <w:rPr>
          <w:i/>
          <w:szCs w:val="20"/>
        </w:rPr>
        <w:lastRenderedPageBreak/>
        <w:t>Palabras: 65</w:t>
      </w:r>
      <w:r w:rsidR="006D460C" w:rsidRPr="006D460C">
        <w:rPr>
          <w:i/>
          <w:szCs w:val="20"/>
        </w:rPr>
        <w:t>0</w:t>
      </w:r>
      <w:bookmarkStart w:id="0" w:name="_GoBack"/>
      <w:bookmarkEnd w:id="0"/>
    </w:p>
    <w:p w14:paraId="36E1B10A" w14:textId="68A29EB0" w:rsidR="002A4D7F" w:rsidRDefault="002A4D7F" w:rsidP="002A4D7F">
      <w:pPr>
        <w:rPr>
          <w:rFonts w:cs="Arial"/>
          <w:i/>
          <w:szCs w:val="20"/>
        </w:rPr>
      </w:pPr>
      <w:r w:rsidRPr="006D460C">
        <w:rPr>
          <w:i/>
          <w:szCs w:val="20"/>
        </w:rPr>
        <w:t>Caracteres</w:t>
      </w:r>
      <w:r w:rsidR="006D460C" w:rsidRPr="006D460C">
        <w:rPr>
          <w:i/>
          <w:szCs w:val="20"/>
        </w:rPr>
        <w:t xml:space="preserve"> (con espacios incluidos): 4.141</w:t>
      </w:r>
    </w:p>
    <w:p w14:paraId="3957B788" w14:textId="77777777" w:rsidR="00505D71" w:rsidRPr="00C16F4D" w:rsidRDefault="00505D71" w:rsidP="003F6E14">
      <w:pPr>
        <w:rPr>
          <w:rFonts w:cs="Arial"/>
          <w:b/>
          <w:szCs w:val="20"/>
        </w:rPr>
      </w:pPr>
    </w:p>
    <w:p w14:paraId="3E427A40" w14:textId="77777777" w:rsidR="00A64948" w:rsidRPr="00DD3CF2" w:rsidRDefault="00A64948" w:rsidP="00A64948">
      <w:pPr>
        <w:rPr>
          <w:b/>
        </w:rPr>
      </w:pPr>
      <w:r>
        <w:rPr>
          <w:b/>
        </w:rPr>
        <w:t>[Título de navegación: sitio web]</w:t>
      </w:r>
    </w:p>
    <w:p w14:paraId="1758BF7F" w14:textId="77777777" w:rsidR="00A64948" w:rsidRPr="0095114F" w:rsidRDefault="002F6645" w:rsidP="00A64948">
      <w:r>
        <w:t xml:space="preserve">Soldadura </w:t>
      </w:r>
      <w:proofErr w:type="spellStart"/>
      <w:r>
        <w:t>Tandem</w:t>
      </w:r>
      <w:proofErr w:type="spellEnd"/>
      <w:r>
        <w:t xml:space="preserve"> TPS/i TWIN </w:t>
      </w:r>
      <w:proofErr w:type="spellStart"/>
      <w:r>
        <w:t>Push</w:t>
      </w:r>
      <w:proofErr w:type="spellEnd"/>
    </w:p>
    <w:p w14:paraId="42B7213C" w14:textId="77777777" w:rsidR="002F6645" w:rsidRPr="0095114F" w:rsidRDefault="002F6645" w:rsidP="00A64948"/>
    <w:p w14:paraId="0682DA2F" w14:textId="77777777" w:rsidR="00A64948" w:rsidRPr="00DD3CF2" w:rsidRDefault="00A64948" w:rsidP="00A64948">
      <w:pPr>
        <w:rPr>
          <w:b/>
        </w:rPr>
      </w:pPr>
      <w:r>
        <w:rPr>
          <w:b/>
        </w:rPr>
        <w:t>[Nombre de visualización: URL]</w:t>
      </w:r>
    </w:p>
    <w:p w14:paraId="64F8F951" w14:textId="77777777" w:rsidR="00A64948" w:rsidRDefault="002F6645" w:rsidP="00A64948">
      <w:proofErr w:type="spellStart"/>
      <w:proofErr w:type="gramStart"/>
      <w:r>
        <w:t>tpsi-twin-push</w:t>
      </w:r>
      <w:proofErr w:type="spellEnd"/>
      <w:proofErr w:type="gramEnd"/>
    </w:p>
    <w:p w14:paraId="3E8173C4" w14:textId="77777777" w:rsidR="002F6645" w:rsidRPr="00283F56" w:rsidRDefault="002F6645" w:rsidP="00A64948"/>
    <w:p w14:paraId="0742E9CB" w14:textId="77777777" w:rsidR="00A64948" w:rsidRPr="00DD3CF2" w:rsidRDefault="00946FAE" w:rsidP="00A64948">
      <w:pPr>
        <w:rPr>
          <w:b/>
        </w:rPr>
      </w:pPr>
      <w:r>
        <w:rPr>
          <w:b/>
        </w:rPr>
        <w:t>[</w:t>
      </w:r>
      <w:proofErr w:type="spellStart"/>
      <w:r>
        <w:rPr>
          <w:b/>
        </w:rPr>
        <w:t>Metatítulo</w:t>
      </w:r>
      <w:proofErr w:type="spellEnd"/>
      <w:r>
        <w:rPr>
          <w:b/>
        </w:rPr>
        <w:t>]</w:t>
      </w:r>
    </w:p>
    <w:p w14:paraId="2D0FBE14" w14:textId="77777777" w:rsidR="002F6645" w:rsidRPr="002F6645" w:rsidRDefault="002F6645" w:rsidP="002F6645">
      <w:pPr>
        <w:rPr>
          <w:rFonts w:cs="Arial"/>
          <w:szCs w:val="20"/>
        </w:rPr>
      </w:pPr>
      <w:r>
        <w:t xml:space="preserve">Soldadura </w:t>
      </w:r>
      <w:proofErr w:type="spellStart"/>
      <w:r>
        <w:t>Tandem</w:t>
      </w:r>
      <w:proofErr w:type="spellEnd"/>
      <w:r>
        <w:t xml:space="preserve"> TPS/i TWIN </w:t>
      </w:r>
      <w:proofErr w:type="spellStart"/>
      <w:r>
        <w:t>Push</w:t>
      </w:r>
      <w:proofErr w:type="spellEnd"/>
      <w:r>
        <w:t xml:space="preserve"> de </w:t>
      </w:r>
      <w:proofErr w:type="spellStart"/>
      <w:r>
        <w:t>Fronius</w:t>
      </w:r>
      <w:proofErr w:type="spellEnd"/>
      <w:r>
        <w:t xml:space="preserve"> para una mayor eficiencia</w:t>
      </w:r>
    </w:p>
    <w:p w14:paraId="4FFBDAFC" w14:textId="77777777" w:rsidR="002F6645" w:rsidRPr="00C16F4D" w:rsidRDefault="002F6645" w:rsidP="00A64948"/>
    <w:p w14:paraId="0C0CC799" w14:textId="2FFEDF6A" w:rsidR="00A64948" w:rsidRPr="00DD3CF2" w:rsidRDefault="00A64948" w:rsidP="00A64948">
      <w:pPr>
        <w:rPr>
          <w:b/>
        </w:rPr>
      </w:pPr>
      <w:r>
        <w:rPr>
          <w:b/>
        </w:rPr>
        <w:t>[</w:t>
      </w:r>
      <w:proofErr w:type="spellStart"/>
      <w:r>
        <w:rPr>
          <w:b/>
        </w:rPr>
        <w:t>Metadescripción</w:t>
      </w:r>
      <w:proofErr w:type="spellEnd"/>
      <w:r>
        <w:rPr>
          <w:b/>
        </w:rPr>
        <w:t>]</w:t>
      </w:r>
    </w:p>
    <w:p w14:paraId="6151E816" w14:textId="358D44B4" w:rsidR="002F6645" w:rsidRPr="002F6645" w:rsidRDefault="002357F0" w:rsidP="002F6645">
      <w:pPr>
        <w:rPr>
          <w:rFonts w:cs="Arial"/>
          <w:szCs w:val="20"/>
        </w:rPr>
      </w:pPr>
      <w:r>
        <w:t xml:space="preserve">La soldadura de alto rendimiento con TPS/i TWIN </w:t>
      </w:r>
      <w:proofErr w:type="spellStart"/>
      <w:r>
        <w:t>Push</w:t>
      </w:r>
      <w:proofErr w:type="spellEnd"/>
      <w:r>
        <w:t xml:space="preserve"> aumenta la tasa de deposición y la velocidad de corte a la vez que reduce los esfuerzos en los procesos </w:t>
      </w:r>
      <w:r w:rsidR="002A4D7F">
        <w:t xml:space="preserve">de preparación y </w:t>
      </w:r>
      <w:proofErr w:type="spellStart"/>
      <w:r w:rsidR="002A4D7F">
        <w:t>retrabajo</w:t>
      </w:r>
      <w:proofErr w:type="spellEnd"/>
      <w:r>
        <w:t>.</w:t>
      </w:r>
    </w:p>
    <w:p w14:paraId="52C2F525" w14:textId="77777777" w:rsidR="00A64948" w:rsidRPr="00C16F4D" w:rsidRDefault="00A64948" w:rsidP="003F6E14">
      <w:pPr>
        <w:rPr>
          <w:rFonts w:cs="Arial"/>
          <w:szCs w:val="20"/>
        </w:rPr>
      </w:pPr>
    </w:p>
    <w:p w14:paraId="472984C6" w14:textId="77777777" w:rsidR="0017721C" w:rsidRPr="00C16F4D" w:rsidRDefault="0017721C" w:rsidP="003F6E14">
      <w:pPr>
        <w:rPr>
          <w:rFonts w:cs="Arial"/>
          <w:b/>
          <w:szCs w:val="20"/>
        </w:rPr>
      </w:pPr>
    </w:p>
    <w:p w14:paraId="1C437964" w14:textId="77777777" w:rsidR="00A72F91" w:rsidRPr="00AE2683" w:rsidRDefault="00634499" w:rsidP="003F6E14">
      <w:pPr>
        <w:rPr>
          <w:rFonts w:cs="Arial"/>
          <w:b/>
          <w:szCs w:val="20"/>
        </w:rPr>
      </w:pPr>
      <w:r>
        <w:rPr>
          <w:b/>
          <w:szCs w:val="20"/>
        </w:rPr>
        <w:t xml:space="preserve">Título de la imagen: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eastAsia="es-ES"/>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Imagen 1: </w:t>
      </w:r>
      <w:r>
        <w:t xml:space="preserve">El proceso de soldadura de alto rendimiento </w:t>
      </w:r>
      <w:proofErr w:type="spellStart"/>
      <w:r>
        <w:t>Tandem</w:t>
      </w:r>
      <w:proofErr w:type="spellEnd"/>
      <w:r>
        <w:t xml:space="preserve"> ofrece una soldadura eficiente en componentes de gran volumen y cordones largos.</w:t>
      </w:r>
    </w:p>
    <w:p w14:paraId="18B84E93" w14:textId="77777777" w:rsidR="00C57436" w:rsidRPr="00B42648" w:rsidRDefault="00C57436" w:rsidP="003F6E14">
      <w:pPr>
        <w:rPr>
          <w:rFonts w:cs="Arial"/>
          <w:b/>
          <w:szCs w:val="20"/>
        </w:rPr>
      </w:pPr>
    </w:p>
    <w:p w14:paraId="71AB2ACE" w14:textId="5D3BA10A" w:rsidR="00FC3AF3" w:rsidRDefault="00B77353" w:rsidP="003F6E14">
      <w:pPr>
        <w:rPr>
          <w:rFonts w:cs="Arial"/>
          <w:b/>
          <w:szCs w:val="20"/>
        </w:rPr>
      </w:pPr>
      <w:r>
        <w:rPr>
          <w:noProof/>
          <w:lang w:eastAsia="es-ES"/>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Imagen 2: </w:t>
      </w:r>
      <w:r>
        <w:t>Los dos electrodos de soldadura aislados entre sí permiten regular de forma individual los arcos voltaicos.</w:t>
      </w:r>
    </w:p>
    <w:p w14:paraId="6C178113" w14:textId="77777777" w:rsidR="00FC3AF3" w:rsidRPr="00AE2683" w:rsidRDefault="00FC3AF3" w:rsidP="003F6E14">
      <w:pPr>
        <w:rPr>
          <w:rFonts w:cs="Arial"/>
          <w:b/>
          <w:szCs w:val="20"/>
          <w:lang w:val="de-DE"/>
        </w:rPr>
      </w:pPr>
    </w:p>
    <w:p w14:paraId="5CBF9A74" w14:textId="277012C5" w:rsidR="00512ECD" w:rsidRPr="00AE2683" w:rsidRDefault="00B77353" w:rsidP="003F6E14">
      <w:pPr>
        <w:rPr>
          <w:rFonts w:cs="Arial"/>
          <w:b/>
          <w:szCs w:val="20"/>
        </w:rPr>
      </w:pPr>
      <w:r>
        <w:rPr>
          <w:noProof/>
          <w:lang w:eastAsia="es-ES"/>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Imagen 3: </w:t>
      </w:r>
      <w:r>
        <w:t xml:space="preserve">La refrigeración mejorada de la antorcha del sistema TPS/i TWIN </w:t>
      </w:r>
      <w:proofErr w:type="spellStart"/>
      <w:r>
        <w:t>Push</w:t>
      </w:r>
      <w:proofErr w:type="spellEnd"/>
      <w:r>
        <w:t xml:space="preserve"> permite que los consumibles tengan una vida útil prolongada.</w:t>
      </w:r>
    </w:p>
    <w:p w14:paraId="23789529" w14:textId="77777777" w:rsidR="00512ECD" w:rsidRPr="00C16F4D" w:rsidRDefault="00512ECD" w:rsidP="003F6E14">
      <w:pPr>
        <w:rPr>
          <w:rFonts w:cs="Arial"/>
          <w:b/>
          <w:szCs w:val="20"/>
        </w:rPr>
      </w:pPr>
    </w:p>
    <w:p w14:paraId="63FF1B16" w14:textId="3FFE1C79" w:rsidR="00FC3AF3" w:rsidRDefault="00B77353" w:rsidP="003F6E14">
      <w:pPr>
        <w:rPr>
          <w:rFonts w:cs="Arial"/>
          <w:b/>
          <w:szCs w:val="20"/>
        </w:rPr>
      </w:pPr>
      <w:r>
        <w:rPr>
          <w:noProof/>
          <w:lang w:eastAsia="es-ES"/>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Imagen 4: </w:t>
      </w:r>
      <w:r>
        <w:t xml:space="preserve">El sistema de soldadura TPS/i TWIN </w:t>
      </w:r>
      <w:proofErr w:type="spellStart"/>
      <w:r>
        <w:t>Push</w:t>
      </w:r>
      <w:proofErr w:type="spellEnd"/>
      <w:r>
        <w:t xml:space="preserve"> consta de dos fuentes de potencia TPS/i de alto rendimiento, el controlador TWIN, un avance de hilo compacto, una refrigeración, juegos de cables y la antorcha de soldadura TWIN. La nueva estación de limpieza de antorcha </w:t>
      </w:r>
      <w:proofErr w:type="spellStart"/>
      <w:r>
        <w:t>Robacta</w:t>
      </w:r>
      <w:proofErr w:type="spellEnd"/>
      <w:r>
        <w:t xml:space="preserve"> TSS/i </w:t>
      </w:r>
      <w:proofErr w:type="spellStart"/>
      <w:r>
        <w:t>TorchServiceStation</w:t>
      </w:r>
      <w:proofErr w:type="spellEnd"/>
      <w:r>
        <w:t xml:space="preserve"> y la estación de cambio de antorcha de soldadura TX TWIN completan el sistema.</w:t>
      </w:r>
    </w:p>
    <w:p w14:paraId="57C89E43" w14:textId="77777777" w:rsidR="00FC3AF3" w:rsidRPr="00C16F4D" w:rsidRDefault="00FC3AF3" w:rsidP="003F6E14">
      <w:pPr>
        <w:rPr>
          <w:rFonts w:cs="Arial"/>
          <w:b/>
          <w:szCs w:val="20"/>
        </w:rPr>
      </w:pPr>
    </w:p>
    <w:p w14:paraId="466C4DB3" w14:textId="77777777" w:rsidR="00FC3AF3" w:rsidRPr="00C16F4D" w:rsidRDefault="00FC3AF3" w:rsidP="003F6E14">
      <w:pPr>
        <w:rPr>
          <w:rFonts w:cs="Arial"/>
          <w:b/>
          <w:szCs w:val="20"/>
        </w:rPr>
      </w:pPr>
    </w:p>
    <w:p w14:paraId="7D145516" w14:textId="77777777" w:rsidR="00B42648" w:rsidRPr="00C724A2" w:rsidRDefault="00B42648" w:rsidP="00B42648">
      <w:pPr>
        <w:rPr>
          <w:rFonts w:cs="Arial"/>
          <w:szCs w:val="20"/>
        </w:rPr>
      </w:pPr>
      <w:r w:rsidRPr="00C724A2">
        <w:rPr>
          <w:rFonts w:cs="Arial"/>
          <w:szCs w:val="20"/>
        </w:rPr>
        <w:t xml:space="preserve">Copyright de las fotografías: </w:t>
      </w: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reproducción sin costo</w:t>
      </w:r>
    </w:p>
    <w:p w14:paraId="1011185E" w14:textId="77777777" w:rsidR="00B42648" w:rsidRPr="00C724A2" w:rsidRDefault="00B42648" w:rsidP="00B42648">
      <w:pPr>
        <w:rPr>
          <w:rFonts w:cs="Arial"/>
          <w:szCs w:val="20"/>
        </w:rPr>
      </w:pPr>
    </w:p>
    <w:p w14:paraId="7AE08CDC" w14:textId="77777777" w:rsidR="00B42648" w:rsidRPr="00C724A2" w:rsidRDefault="00B42648" w:rsidP="00B42648">
      <w:pPr>
        <w:rPr>
          <w:rFonts w:cs="Arial"/>
          <w:szCs w:val="20"/>
        </w:rPr>
      </w:pPr>
      <w:r w:rsidRPr="00C724A2">
        <w:rPr>
          <w:rFonts w:cs="Arial"/>
          <w:szCs w:val="20"/>
        </w:rPr>
        <w:t>Imágenes de alta resolución están disponibles para descargar del siguiente enlace:</w:t>
      </w:r>
    </w:p>
    <w:p w14:paraId="1388D567" w14:textId="77777777" w:rsidR="00B42648" w:rsidRPr="00C724A2" w:rsidRDefault="006D460C" w:rsidP="00B42648">
      <w:pPr>
        <w:rPr>
          <w:rFonts w:cs="Arial"/>
          <w:szCs w:val="20"/>
        </w:rPr>
      </w:pPr>
      <w:hyperlink r:id="rId18" w:history="1">
        <w:r w:rsidR="00B42648" w:rsidRPr="00C724A2">
          <w:rPr>
            <w:rStyle w:val="Hipervnculo"/>
            <w:rFonts w:cs="Arial"/>
            <w:bCs/>
            <w:iCs/>
            <w:snapToGrid w:val="0"/>
            <w:szCs w:val="20"/>
            <w:lang w:val="pt-BR"/>
          </w:rPr>
          <w:t>www.fronius.com/en/welding-technology/infocentre/press</w:t>
        </w:r>
      </w:hyperlink>
    </w:p>
    <w:p w14:paraId="036F7F1A" w14:textId="77777777" w:rsidR="00B42648" w:rsidRPr="00C724A2" w:rsidRDefault="00B42648" w:rsidP="00B42648">
      <w:pPr>
        <w:rPr>
          <w:rFonts w:cs="Arial"/>
          <w:b/>
          <w:szCs w:val="20"/>
        </w:rPr>
      </w:pPr>
    </w:p>
    <w:p w14:paraId="676BC223" w14:textId="77777777" w:rsidR="00B42648" w:rsidRPr="00C724A2" w:rsidRDefault="00B42648" w:rsidP="00B42648">
      <w:pPr>
        <w:rPr>
          <w:rFonts w:cs="Arial"/>
          <w:b/>
          <w:szCs w:val="20"/>
        </w:rPr>
      </w:pPr>
    </w:p>
    <w:p w14:paraId="2C03B3AC" w14:textId="77777777" w:rsidR="00B42648" w:rsidRPr="00C724A2" w:rsidRDefault="00B42648" w:rsidP="00B42648">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t>
      </w:r>
      <w:proofErr w:type="spellStart"/>
      <w:r w:rsidRPr="00C724A2">
        <w:rPr>
          <w:rFonts w:cs="Arial"/>
          <w:b/>
          <w:szCs w:val="20"/>
        </w:rPr>
        <w:t>Welding</w:t>
      </w:r>
      <w:proofErr w:type="spellEnd"/>
    </w:p>
    <w:p w14:paraId="2510AA19" w14:textId="77777777" w:rsidR="00B42648" w:rsidRPr="00C724A2" w:rsidRDefault="00B42648" w:rsidP="00B42648">
      <w:pPr>
        <w:rPr>
          <w:rFonts w:cs="Arial"/>
          <w:szCs w:val="20"/>
        </w:rPr>
      </w:pP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es el líder en innovación para soldadura por resistencia por puntos y arco voltaico, y es líder en el mercado global para soldadura robótica. Como proveedor de Sistemas.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siempre está cerca de sus clientes. </w:t>
      </w:r>
    </w:p>
    <w:p w14:paraId="0B5A480B" w14:textId="77777777" w:rsidR="00B42648" w:rsidRPr="00C724A2" w:rsidRDefault="00B42648" w:rsidP="00B42648">
      <w:pPr>
        <w:rPr>
          <w:rFonts w:cs="Arial"/>
          <w:b/>
          <w:szCs w:val="20"/>
        </w:rPr>
      </w:pPr>
    </w:p>
    <w:p w14:paraId="218A8200" w14:textId="77777777" w:rsidR="00B42648" w:rsidRPr="00C724A2" w:rsidRDefault="00B42648" w:rsidP="00B42648">
      <w:pPr>
        <w:rPr>
          <w:rFonts w:cs="Arial"/>
          <w:b/>
          <w:szCs w:val="20"/>
        </w:rPr>
      </w:pPr>
      <w:proofErr w:type="spellStart"/>
      <w:r w:rsidRPr="00C724A2">
        <w:rPr>
          <w:rFonts w:cs="Arial"/>
          <w:b/>
          <w:szCs w:val="20"/>
        </w:rPr>
        <w:t>Fronius</w:t>
      </w:r>
      <w:proofErr w:type="spellEnd"/>
      <w:r w:rsidRPr="00C724A2">
        <w:rPr>
          <w:rFonts w:cs="Arial"/>
          <w:b/>
          <w:szCs w:val="20"/>
        </w:rPr>
        <w:t xml:space="preserve"> International </w:t>
      </w:r>
      <w:proofErr w:type="spellStart"/>
      <w:r w:rsidRPr="00C724A2">
        <w:rPr>
          <w:rFonts w:cs="Arial"/>
          <w:b/>
          <w:szCs w:val="20"/>
        </w:rPr>
        <w:t>GmbH</w:t>
      </w:r>
      <w:proofErr w:type="spellEnd"/>
    </w:p>
    <w:p w14:paraId="59A9EFB9" w14:textId="77777777" w:rsidR="00B42648" w:rsidRPr="00C724A2" w:rsidRDefault="00B42648" w:rsidP="00B42648">
      <w:pPr>
        <w:rPr>
          <w:rFonts w:cs="Arial"/>
          <w:szCs w:val="20"/>
        </w:rPr>
      </w:pPr>
      <w:proofErr w:type="spellStart"/>
      <w:r w:rsidRPr="00C724A2">
        <w:rPr>
          <w:rFonts w:cs="Arial"/>
          <w:szCs w:val="20"/>
        </w:rPr>
        <w:t>Fronius</w:t>
      </w:r>
      <w:proofErr w:type="spellEnd"/>
      <w:r w:rsidRPr="00C724A2">
        <w:rPr>
          <w:rFonts w:cs="Arial"/>
          <w:szCs w:val="20"/>
        </w:rPr>
        <w:t xml:space="preserve"> International </w:t>
      </w:r>
      <w:proofErr w:type="spellStart"/>
      <w:r w:rsidRPr="00C724A2">
        <w:rPr>
          <w:rFonts w:cs="Arial"/>
          <w:szCs w:val="20"/>
        </w:rPr>
        <w:t>GmbH</w:t>
      </w:r>
      <w:proofErr w:type="spellEnd"/>
      <w:r w:rsidRPr="00C724A2">
        <w:rPr>
          <w:rFonts w:cs="Arial"/>
          <w:szCs w:val="20"/>
        </w:rPr>
        <w:t xml:space="preserve">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w:t>
      </w:r>
      <w:proofErr w:type="spellStart"/>
      <w:r>
        <w:rPr>
          <w:rFonts w:cs="Arial"/>
          <w:szCs w:val="20"/>
        </w:rPr>
        <w:t>Sattledt</w:t>
      </w:r>
      <w:proofErr w:type="spellEnd"/>
      <w:r>
        <w:rPr>
          <w:rFonts w:cs="Arial"/>
          <w:szCs w:val="20"/>
        </w:rPr>
        <w:t xml:space="preserve">. La empresa con sus </w:t>
      </w:r>
      <w:r w:rsidRPr="00C16F4D">
        <w:rPr>
          <w:rFonts w:cs="Arial"/>
          <w:szCs w:val="20"/>
        </w:rPr>
        <w:t>4.760</w:t>
      </w:r>
      <w:r w:rsidRPr="00C724A2">
        <w:rPr>
          <w:rFonts w:cs="Arial"/>
          <w:szCs w:val="20"/>
        </w:rPr>
        <w:t xml:space="preserve"> empleados a nivel global se dedica a los sectores de tecnología de soldadura, fotovoltaica y tecnología de carga de baterías. El porcentaje de exporta</w:t>
      </w:r>
      <w:r>
        <w:rPr>
          <w:rFonts w:cs="Arial"/>
          <w:szCs w:val="20"/>
        </w:rPr>
        <w:t>ción es de aproximadamente el 92</w:t>
      </w:r>
      <w:r w:rsidRPr="00C724A2">
        <w:rPr>
          <w:rFonts w:cs="Arial"/>
          <w:szCs w:val="20"/>
        </w:rPr>
        <w:t xml:space="preserve"> por ciento y se consigue gracias a las </w:t>
      </w:r>
      <w:r>
        <w:rPr>
          <w:rFonts w:cs="Arial"/>
          <w:szCs w:val="20"/>
        </w:rPr>
        <w:t>30</w:t>
      </w:r>
      <w:r w:rsidRPr="00C724A2">
        <w:rPr>
          <w:rFonts w:cs="Arial"/>
          <w:szCs w:val="20"/>
        </w:rPr>
        <w:t xml:space="preserve"> sociedades internacionales de </w:t>
      </w:r>
      <w:proofErr w:type="spellStart"/>
      <w:r w:rsidRPr="00C724A2">
        <w:rPr>
          <w:rFonts w:cs="Arial"/>
          <w:szCs w:val="20"/>
        </w:rPr>
        <w:t>Fronius</w:t>
      </w:r>
      <w:proofErr w:type="spellEnd"/>
      <w:r w:rsidRPr="00C724A2">
        <w:rPr>
          <w:rFonts w:cs="Arial"/>
          <w:szCs w:val="20"/>
        </w:rPr>
        <w:t xml:space="preserve"> y distribuidores/representantes en más de 60 países. </w:t>
      </w:r>
      <w:proofErr w:type="spellStart"/>
      <w:r w:rsidRPr="00C724A2">
        <w:rPr>
          <w:rFonts w:cs="Arial"/>
          <w:szCs w:val="20"/>
        </w:rPr>
        <w:t>Fronius</w:t>
      </w:r>
      <w:proofErr w:type="spellEnd"/>
      <w:r w:rsidRPr="00C724A2">
        <w:rPr>
          <w:rFonts w:cs="Arial"/>
          <w:szCs w:val="20"/>
        </w:rPr>
        <w:t xml:space="preserve"> es líder en innovación en el mercado mundial gracias a sus productos innovadores y</w:t>
      </w:r>
      <w:r>
        <w:rPr>
          <w:rFonts w:cs="Arial"/>
          <w:szCs w:val="20"/>
        </w:rPr>
        <w:t xml:space="preserve"> servicios, así como a las 1.253</w:t>
      </w:r>
      <w:r w:rsidRPr="00C724A2">
        <w:rPr>
          <w:rFonts w:cs="Arial"/>
          <w:szCs w:val="20"/>
        </w:rPr>
        <w:t xml:space="preserve"> patentes concedidas.</w:t>
      </w:r>
    </w:p>
    <w:p w14:paraId="675E6F1C" w14:textId="77777777" w:rsidR="00B42648" w:rsidRPr="00C724A2" w:rsidRDefault="00B42648" w:rsidP="00B42648">
      <w:pPr>
        <w:pStyle w:val="Textoindependiente2"/>
        <w:spacing w:after="0" w:line="240" w:lineRule="auto"/>
        <w:ind w:right="-254"/>
        <w:rPr>
          <w:rFonts w:cs="Arial"/>
          <w:szCs w:val="20"/>
        </w:rPr>
      </w:pPr>
    </w:p>
    <w:p w14:paraId="2CD97C62" w14:textId="77777777" w:rsidR="00B42648" w:rsidRPr="00C724A2" w:rsidRDefault="00B42648" w:rsidP="00B42648">
      <w:pPr>
        <w:pStyle w:val="Textoindependiente2"/>
        <w:spacing w:after="0" w:line="240" w:lineRule="auto"/>
        <w:ind w:right="-254"/>
        <w:rPr>
          <w:rFonts w:cs="Arial"/>
          <w:i/>
          <w:iCs/>
          <w:szCs w:val="20"/>
        </w:rPr>
      </w:pPr>
    </w:p>
    <w:p w14:paraId="2E859511" w14:textId="77777777" w:rsidR="00B42648" w:rsidRPr="00C724A2" w:rsidRDefault="00B42648" w:rsidP="00B42648">
      <w:pPr>
        <w:pStyle w:val="Textoindependiente2"/>
        <w:spacing w:after="0" w:line="240" w:lineRule="auto"/>
        <w:ind w:right="-254"/>
        <w:rPr>
          <w:rFonts w:cs="Arial"/>
          <w:i/>
          <w:iCs/>
          <w:szCs w:val="20"/>
        </w:rPr>
      </w:pPr>
    </w:p>
    <w:p w14:paraId="55B4825E" w14:textId="77777777" w:rsidR="00B42648" w:rsidRPr="00B46728" w:rsidRDefault="00B42648" w:rsidP="00B42648">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proofErr w:type="spellStart"/>
      <w:r w:rsidRPr="00B46728">
        <w:rPr>
          <w:rFonts w:cs="Arial"/>
          <w:szCs w:val="20"/>
        </w:rPr>
        <w:t>Fronius</w:t>
      </w:r>
      <w:proofErr w:type="spellEnd"/>
      <w:r w:rsidRPr="00B46728">
        <w:rPr>
          <w:rFonts w:cs="Arial"/>
          <w:szCs w:val="20"/>
        </w:rPr>
        <w:t xml:space="preserve"> España S.L.U., Laura González</w:t>
      </w:r>
    </w:p>
    <w:p w14:paraId="08FA3E26" w14:textId="77777777" w:rsidR="00B42648" w:rsidRPr="00B46728" w:rsidRDefault="00B42648" w:rsidP="00B42648">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032EDDCC" w14:textId="77777777" w:rsidR="00B42648" w:rsidRPr="00B46728" w:rsidRDefault="00B42648" w:rsidP="00B42648">
      <w:pPr>
        <w:autoSpaceDE w:val="0"/>
        <w:autoSpaceDN w:val="0"/>
        <w:adjustRightInd w:val="0"/>
        <w:rPr>
          <w:rFonts w:cs="Arial"/>
          <w:szCs w:val="20"/>
        </w:rPr>
      </w:pPr>
      <w:r w:rsidRPr="00B46728">
        <w:rPr>
          <w:rFonts w:cs="Arial"/>
          <w:szCs w:val="20"/>
        </w:rPr>
        <w:t>Tel.:+34 (91) 649 60 40; Fax:+34 (91) 649 60 44</w:t>
      </w:r>
    </w:p>
    <w:p w14:paraId="37FF921C" w14:textId="77777777" w:rsidR="00B42648" w:rsidRPr="00B46728" w:rsidRDefault="00B42648" w:rsidP="00B42648">
      <w:pPr>
        <w:autoSpaceDE w:val="0"/>
        <w:autoSpaceDN w:val="0"/>
        <w:adjustRightInd w:val="0"/>
        <w:rPr>
          <w:rFonts w:cs="Arial"/>
          <w:szCs w:val="20"/>
        </w:rPr>
      </w:pPr>
      <w:r w:rsidRPr="00B46728">
        <w:rPr>
          <w:rFonts w:cs="Arial"/>
          <w:szCs w:val="20"/>
        </w:rPr>
        <w:t xml:space="preserve">Correo electrónico: </w:t>
      </w:r>
      <w:hyperlink r:id="rId19" w:history="1">
        <w:r w:rsidRPr="00B46728">
          <w:rPr>
            <w:rStyle w:val="Hipervnculo"/>
            <w:rFonts w:cs="Arial"/>
            <w:szCs w:val="20"/>
          </w:rPr>
          <w:t>gonzalez.laura@fronius.com</w:t>
        </w:r>
      </w:hyperlink>
    </w:p>
    <w:p w14:paraId="6294FC16" w14:textId="77777777" w:rsidR="00B42648" w:rsidRPr="00B46728" w:rsidRDefault="00B42648" w:rsidP="00B42648">
      <w:pPr>
        <w:autoSpaceDE w:val="0"/>
        <w:autoSpaceDN w:val="0"/>
        <w:adjustRightInd w:val="0"/>
        <w:rPr>
          <w:rFonts w:cs="Arial"/>
          <w:szCs w:val="20"/>
        </w:rPr>
      </w:pPr>
    </w:p>
    <w:p w14:paraId="0897C684" w14:textId="77777777" w:rsidR="00B42648" w:rsidRPr="00B46728" w:rsidRDefault="00B42648" w:rsidP="00B42648">
      <w:pPr>
        <w:autoSpaceDE w:val="0"/>
        <w:autoSpaceDN w:val="0"/>
        <w:adjustRightInd w:val="0"/>
        <w:rPr>
          <w:rFonts w:cs="Arial"/>
          <w:szCs w:val="20"/>
        </w:rPr>
      </w:pPr>
    </w:p>
    <w:p w14:paraId="41A7665B" w14:textId="77777777" w:rsidR="00B42648" w:rsidRPr="00B46728" w:rsidRDefault="00B42648" w:rsidP="00B42648">
      <w:pPr>
        <w:autoSpaceDE w:val="0"/>
        <w:autoSpaceDN w:val="0"/>
        <w:adjustRightInd w:val="0"/>
        <w:rPr>
          <w:rFonts w:cs="Arial"/>
          <w:color w:val="000000"/>
          <w:szCs w:val="20"/>
        </w:rPr>
      </w:pPr>
    </w:p>
    <w:p w14:paraId="4E0E97EF" w14:textId="77777777" w:rsidR="00B42648" w:rsidRPr="00B46728" w:rsidRDefault="00B42648" w:rsidP="00B42648">
      <w:pPr>
        <w:pStyle w:val="Textoindependiente2"/>
        <w:spacing w:after="0" w:line="240" w:lineRule="auto"/>
        <w:ind w:right="29"/>
        <w:rPr>
          <w:rFonts w:cs="Arial"/>
          <w:b/>
          <w:szCs w:val="20"/>
        </w:rPr>
      </w:pPr>
      <w:r w:rsidRPr="00B46728">
        <w:rPr>
          <w:rFonts w:cs="Arial"/>
          <w:b/>
          <w:szCs w:val="20"/>
        </w:rPr>
        <w:t>Por favor, envíe un ejemplar de prueba a nuestra agencia:</w:t>
      </w:r>
    </w:p>
    <w:p w14:paraId="20E794BA" w14:textId="77777777" w:rsidR="00B42648" w:rsidRPr="00B46728" w:rsidRDefault="00B42648" w:rsidP="00B42648">
      <w:pPr>
        <w:pStyle w:val="Textoindependiente2"/>
        <w:spacing w:after="0" w:line="240" w:lineRule="auto"/>
        <w:ind w:right="29"/>
        <w:rPr>
          <w:rFonts w:cs="Arial"/>
          <w:szCs w:val="20"/>
          <w:lang w:val="de-DE"/>
        </w:rPr>
      </w:pPr>
      <w:r w:rsidRPr="00B46728">
        <w:rPr>
          <w:rFonts w:cs="Arial"/>
          <w:szCs w:val="20"/>
          <w:lang w:val="de-DE"/>
        </w:rPr>
        <w:t>a1kommunikation Schweizer GmbH, Señora Kirsten Ludwig,</w:t>
      </w:r>
    </w:p>
    <w:p w14:paraId="6F41626F" w14:textId="77777777" w:rsidR="00B42648" w:rsidRPr="00B46728" w:rsidRDefault="00B42648" w:rsidP="00B42648">
      <w:pPr>
        <w:pStyle w:val="Textoindependiente2"/>
        <w:spacing w:after="0" w:line="240" w:lineRule="auto"/>
        <w:ind w:right="29"/>
        <w:rPr>
          <w:rFonts w:cs="Arial"/>
          <w:szCs w:val="20"/>
        </w:rPr>
      </w:pPr>
      <w:proofErr w:type="spellStart"/>
      <w:r w:rsidRPr="00B46728">
        <w:rPr>
          <w:rFonts w:cs="Arial"/>
          <w:szCs w:val="20"/>
        </w:rPr>
        <w:t>Oberdorfstraße</w:t>
      </w:r>
      <w:proofErr w:type="spellEnd"/>
      <w:r w:rsidRPr="00B46728">
        <w:rPr>
          <w:rFonts w:cs="Arial"/>
          <w:szCs w:val="20"/>
        </w:rPr>
        <w:t xml:space="preserve"> 31 A, D – 70794 </w:t>
      </w:r>
      <w:proofErr w:type="spellStart"/>
      <w:r w:rsidRPr="00B46728">
        <w:rPr>
          <w:rFonts w:cs="Arial"/>
          <w:szCs w:val="20"/>
        </w:rPr>
        <w:t>Filderstadt</w:t>
      </w:r>
      <w:proofErr w:type="spellEnd"/>
      <w:r w:rsidRPr="00B46728">
        <w:rPr>
          <w:rFonts w:cs="Arial"/>
          <w:szCs w:val="20"/>
        </w:rPr>
        <w:t>,</w:t>
      </w:r>
    </w:p>
    <w:p w14:paraId="3A6A2560" w14:textId="77777777" w:rsidR="00B42648" w:rsidRPr="00B46728" w:rsidRDefault="00B42648" w:rsidP="00B42648">
      <w:pPr>
        <w:rPr>
          <w:rFonts w:cs="Arial"/>
          <w:szCs w:val="20"/>
        </w:rPr>
      </w:pPr>
      <w:r w:rsidRPr="00B46728">
        <w:rPr>
          <w:rFonts w:cs="Arial"/>
          <w:szCs w:val="20"/>
        </w:rPr>
        <w:t xml:space="preserve">tel.: +49 (0)711 9454161-20, correo electrónico: </w:t>
      </w:r>
      <w:hyperlink r:id="rId20">
        <w:r w:rsidRPr="00B46728">
          <w:rPr>
            <w:rStyle w:val="Hipervnculo"/>
            <w:rFonts w:cs="Arial"/>
            <w:szCs w:val="20"/>
          </w:rPr>
          <w:t>Kirsten.Ludwig@a1kommunikation.de</w:t>
        </w:r>
      </w:hyperlink>
    </w:p>
    <w:p w14:paraId="1528A0D4" w14:textId="77777777" w:rsidR="00B42648" w:rsidRPr="00B46728" w:rsidRDefault="00B42648" w:rsidP="00B42648">
      <w:pPr>
        <w:rPr>
          <w:rFonts w:cs="Arial"/>
        </w:rPr>
      </w:pPr>
    </w:p>
    <w:p w14:paraId="52AEAD65" w14:textId="77777777" w:rsidR="00B42648" w:rsidRDefault="00B42648" w:rsidP="00B42648">
      <w:pPr>
        <w:autoSpaceDE w:val="0"/>
        <w:autoSpaceDN w:val="0"/>
        <w:adjustRightInd w:val="0"/>
        <w:rPr>
          <w:rFonts w:cs="Arial"/>
          <w:szCs w:val="20"/>
        </w:rPr>
      </w:pPr>
    </w:p>
    <w:p w14:paraId="4B9D9159" w14:textId="123EB54D" w:rsidR="009D3B05" w:rsidRPr="00B42648" w:rsidRDefault="00B42648" w:rsidP="00B42648">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perfect-welding</w:t>
      </w:r>
      <w:proofErr w:type="spellEnd"/>
      <w:r w:rsidRPr="009E41CA">
        <w:rPr>
          <w:rFonts w:cs="Arial"/>
          <w:szCs w:val="20"/>
        </w:rPr>
        <w:t>), Instagram (</w:t>
      </w:r>
      <w:proofErr w:type="spellStart"/>
      <w:r w:rsidRPr="009E41CA">
        <w:rPr>
          <w:rFonts w:cs="Arial"/>
          <w:szCs w:val="20"/>
        </w:rPr>
        <w:t>froniuswelding</w:t>
      </w:r>
      <w:proofErr w:type="spellEnd"/>
      <w:r w:rsidRPr="009E41CA">
        <w:rPr>
          <w:rFonts w:cs="Arial"/>
          <w:szCs w:val="20"/>
        </w:rPr>
        <w:t>) y YouTube (</w:t>
      </w:r>
      <w:proofErr w:type="spellStart"/>
      <w:r w:rsidRPr="009E41CA">
        <w:rPr>
          <w:rFonts w:cs="Arial"/>
          <w:szCs w:val="20"/>
        </w:rPr>
        <w:t>froniuswelding</w:t>
      </w:r>
      <w:proofErr w:type="spellEnd"/>
      <w:r w:rsidRPr="009E41CA">
        <w:rPr>
          <w:rFonts w:cs="Arial"/>
          <w:szCs w:val="20"/>
        </w:rPr>
        <w:t>)!</w:t>
      </w:r>
    </w:p>
    <w:sectPr w:rsidR="009D3B05" w:rsidRPr="00B4264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71CB71" w14:textId="77777777" w:rsidR="00DF1DA4" w:rsidRDefault="00DF1DA4" w:rsidP="00B95BF4">
      <w:r>
        <w:separator/>
      </w:r>
    </w:p>
  </w:endnote>
  <w:endnote w:type="continuationSeparator" w:id="0">
    <w:p w14:paraId="13294B0E" w14:textId="77777777" w:rsidR="00DF1DA4" w:rsidRDefault="00DF1DA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6D460C">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6D460C">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BE2BF4" w14:textId="77777777" w:rsidR="00DF1DA4" w:rsidRDefault="00DF1DA4" w:rsidP="00B95BF4">
      <w:r>
        <w:separator/>
      </w:r>
    </w:p>
  </w:footnote>
  <w:footnote w:type="continuationSeparator" w:id="0">
    <w:p w14:paraId="21FF8147" w14:textId="77777777" w:rsidR="00DF1DA4" w:rsidRDefault="00DF1DA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eastAsia="es-ES"/>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pt-BR"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4D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09AE"/>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3B7D"/>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460C"/>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420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06F0"/>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4264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6F4D"/>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1DA4"/>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873EC"/>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715"/>
    <w:rPr>
      <w:rFonts w:ascii="Arial" w:hAnsi="Arial"/>
      <w:szCs w:val="24"/>
      <w:lang w:eastAsia="zh-TW"/>
    </w:rPr>
  </w:style>
  <w:style w:type="paragraph" w:styleId="Ttulo1">
    <w:name w:val="heading 1"/>
    <w:basedOn w:val="Normal"/>
    <w:next w:val="Normal"/>
    <w:link w:val="Ttulo1Car"/>
    <w:qFormat/>
    <w:rsid w:val="006E4E66"/>
    <w:pPr>
      <w:keepNext/>
      <w:spacing w:before="240" w:after="60"/>
      <w:outlineLvl w:val="0"/>
    </w:pPr>
    <w:rPr>
      <w:rFonts w:cs="Arial"/>
      <w:b/>
      <w:bCs/>
      <w:caps/>
      <w:color w:val="FF0000"/>
      <w:kern w:val="32"/>
      <w:sz w:val="28"/>
      <w:szCs w:val="32"/>
    </w:rPr>
  </w:style>
  <w:style w:type="paragraph" w:styleId="Ttulo2">
    <w:name w:val="heading 2"/>
    <w:basedOn w:val="Normal"/>
    <w:next w:val="Normal"/>
    <w:link w:val="Ttulo2Car"/>
    <w:qFormat/>
    <w:rsid w:val="006E4E66"/>
    <w:pPr>
      <w:keepNext/>
      <w:spacing w:before="240" w:after="60"/>
      <w:outlineLvl w:val="1"/>
    </w:pPr>
    <w:rPr>
      <w:rFonts w:cs="Arial"/>
      <w:b/>
      <w:bCs/>
      <w:iCs/>
      <w:color w:val="000000"/>
      <w:sz w:val="24"/>
      <w:szCs w:val="28"/>
    </w:rPr>
  </w:style>
  <w:style w:type="paragraph" w:styleId="Ttulo3">
    <w:name w:val="heading 3"/>
    <w:basedOn w:val="Normal"/>
    <w:next w:val="Normal"/>
    <w:qFormat/>
    <w:rsid w:val="006E4E66"/>
    <w:pPr>
      <w:keepNext/>
      <w:spacing w:before="240" w:after="60"/>
      <w:outlineLvl w:val="2"/>
    </w:pPr>
    <w:rPr>
      <w:rFonts w:cs="Arial"/>
      <w:b/>
      <w:bCs/>
      <w:szCs w:val="26"/>
    </w:rPr>
  </w:style>
  <w:style w:type="paragraph" w:styleId="Ttulo4">
    <w:name w:val="heading 4"/>
    <w:basedOn w:val="Normal"/>
    <w:next w:val="Normal"/>
    <w:qFormat/>
    <w:rsid w:val="006E4E66"/>
    <w:pPr>
      <w:keepNext/>
      <w:spacing w:before="240" w:after="60"/>
      <w:outlineLvl w:val="3"/>
    </w:pPr>
    <w:rPr>
      <w:b/>
      <w:bCs/>
      <w:sz w:val="16"/>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qFormat/>
    <w:rsid w:val="006E4E66"/>
    <w:rPr>
      <w:b/>
      <w:bCs/>
      <w:szCs w:val="20"/>
    </w:rPr>
  </w:style>
  <w:style w:type="paragraph" w:styleId="Mapadeldocumento">
    <w:name w:val="Document Map"/>
    <w:basedOn w:val="Normal"/>
    <w:semiHidden/>
    <w:rsid w:val="006E4E66"/>
    <w:pPr>
      <w:shd w:val="clear" w:color="auto" w:fill="000080"/>
    </w:pPr>
    <w:rPr>
      <w:rFonts w:ascii="Tahoma" w:hAnsi="Tahoma" w:cs="Tahoma"/>
      <w:szCs w:val="20"/>
    </w:rPr>
  </w:style>
  <w:style w:type="numbering" w:customStyle="1" w:styleId="FormatvorlageAufgezhlt">
    <w:name w:val="Formatvorlage Aufgezählt"/>
    <w:basedOn w:val="Sinlista"/>
    <w:rsid w:val="006E4E66"/>
    <w:pPr>
      <w:numPr>
        <w:numId w:val="1"/>
      </w:numPr>
    </w:pPr>
  </w:style>
  <w:style w:type="paragraph" w:styleId="Piedepgina">
    <w:name w:val="footer"/>
    <w:basedOn w:val="Normal"/>
    <w:rsid w:val="006E4E66"/>
    <w:pPr>
      <w:tabs>
        <w:tab w:val="center" w:pos="4536"/>
        <w:tab w:val="right" w:pos="9072"/>
      </w:tabs>
    </w:pPr>
  </w:style>
  <w:style w:type="paragraph" w:styleId="Encabezado">
    <w:name w:val="header"/>
    <w:basedOn w:val="Normal"/>
    <w:rsid w:val="006E4E66"/>
    <w:pPr>
      <w:tabs>
        <w:tab w:val="center" w:pos="4536"/>
        <w:tab w:val="right" w:pos="9072"/>
      </w:tabs>
    </w:pPr>
  </w:style>
  <w:style w:type="paragraph" w:customStyle="1" w:styleId="LabelBeschriftung">
    <w:name w:val="Label / Beschriftung"/>
    <w:basedOn w:val="Descripcin"/>
    <w:rsid w:val="006E4E66"/>
    <w:rPr>
      <w:b w:val="0"/>
      <w:sz w:val="16"/>
    </w:rPr>
  </w:style>
  <w:style w:type="character" w:styleId="Nmerodepgina">
    <w:name w:val="page number"/>
    <w:basedOn w:val="Fuentedeprrafopredeter"/>
    <w:rsid w:val="006E4E66"/>
  </w:style>
  <w:style w:type="paragraph" w:customStyle="1" w:styleId="StandardFett">
    <w:name w:val="Standard Fett"/>
    <w:basedOn w:val="Normal"/>
    <w:rsid w:val="006E4E66"/>
    <w:rPr>
      <w:b/>
    </w:rPr>
  </w:style>
  <w:style w:type="paragraph" w:customStyle="1" w:styleId="Tabellenkopfzeile">
    <w:name w:val="Tabellenkopfzeile"/>
    <w:basedOn w:val="Normal"/>
    <w:rsid w:val="006E4E66"/>
    <w:rPr>
      <w:b/>
      <w:sz w:val="16"/>
    </w:rPr>
  </w:style>
  <w:style w:type="character" w:customStyle="1" w:styleId="Ttulo1Car">
    <w:name w:val="Título 1 Car"/>
    <w:link w:val="Ttulo1"/>
    <w:rsid w:val="006E4E66"/>
    <w:rPr>
      <w:rFonts w:ascii="Arial" w:eastAsia="PMingLiU" w:hAnsi="Arial" w:cs="Arial"/>
      <w:b/>
      <w:bCs/>
      <w:caps/>
      <w:color w:val="FF0000"/>
      <w:kern w:val="32"/>
      <w:sz w:val="28"/>
      <w:szCs w:val="32"/>
      <w:lang w:val="es-ES" w:eastAsia="zh-TW" w:bidi="ar-SA"/>
    </w:rPr>
  </w:style>
  <w:style w:type="character" w:customStyle="1" w:styleId="Ttulo2Car">
    <w:name w:val="Título 2 Car"/>
    <w:link w:val="Ttulo2"/>
    <w:rsid w:val="00A421B3"/>
    <w:rPr>
      <w:rFonts w:ascii="Arial" w:eastAsia="PMingLiU" w:hAnsi="Arial" w:cs="Arial"/>
      <w:b/>
      <w:bCs/>
      <w:iCs/>
      <w:color w:val="000000"/>
      <w:sz w:val="24"/>
      <w:szCs w:val="28"/>
      <w:lang w:val="es-ES" w:eastAsia="zh-TW" w:bidi="ar-SA"/>
    </w:rPr>
  </w:style>
  <w:style w:type="character" w:styleId="Hipervnculo">
    <w:name w:val="Hyperlink"/>
    <w:uiPriority w:val="99"/>
    <w:rsid w:val="007054E2"/>
    <w:rPr>
      <w:color w:val="0000FF"/>
      <w:u w:val="single"/>
    </w:rPr>
  </w:style>
  <w:style w:type="paragraph" w:styleId="Textoindependiente">
    <w:name w:val="Body Text"/>
    <w:basedOn w:val="Normal"/>
    <w:link w:val="TextoindependienteCar"/>
    <w:unhideWhenUsed/>
    <w:rsid w:val="007054E2"/>
    <w:rPr>
      <w:rFonts w:ascii="Courier New" w:eastAsia="Times New Roman" w:hAnsi="Courier New"/>
      <w:sz w:val="24"/>
      <w:szCs w:val="20"/>
      <w:lang w:eastAsia="de-DE"/>
    </w:rPr>
  </w:style>
  <w:style w:type="character" w:customStyle="1" w:styleId="TextoindependienteCar">
    <w:name w:val="Texto independiente Car"/>
    <w:link w:val="Textoindependiente"/>
    <w:rsid w:val="007054E2"/>
    <w:rPr>
      <w:rFonts w:ascii="Courier New" w:eastAsia="Times New Roman" w:hAnsi="Courier New"/>
      <w:sz w:val="24"/>
      <w:lang w:val="es-ES" w:eastAsia="de-DE"/>
    </w:rPr>
  </w:style>
  <w:style w:type="paragraph" w:styleId="Textoindependiente2">
    <w:name w:val="Body Text 2"/>
    <w:basedOn w:val="Normal"/>
    <w:link w:val="Textoindependiente2Car"/>
    <w:rsid w:val="005B7715"/>
    <w:pPr>
      <w:spacing w:after="120" w:line="480" w:lineRule="auto"/>
    </w:pPr>
  </w:style>
  <w:style w:type="character" w:customStyle="1" w:styleId="Textoindependiente2Car">
    <w:name w:val="Texto independiente 2 Car"/>
    <w:link w:val="Textoindependiente2"/>
    <w:rsid w:val="005B7715"/>
    <w:rPr>
      <w:rFonts w:ascii="Arial" w:hAnsi="Arial"/>
      <w:szCs w:val="24"/>
      <w:lang w:eastAsia="zh-TW"/>
    </w:rPr>
  </w:style>
  <w:style w:type="paragraph" w:styleId="Textosinformato">
    <w:name w:val="Plain Text"/>
    <w:basedOn w:val="Normal"/>
    <w:link w:val="TextosinformatoCar"/>
    <w:uiPriority w:val="99"/>
    <w:rsid w:val="005B7715"/>
    <w:rPr>
      <w:rFonts w:ascii="Courier New" w:hAnsi="Courier New"/>
      <w:szCs w:val="20"/>
    </w:rPr>
  </w:style>
  <w:style w:type="character" w:customStyle="1" w:styleId="TextosinformatoCar">
    <w:name w:val="Texto sin formato Car"/>
    <w:link w:val="Textosinformato"/>
    <w:uiPriority w:val="99"/>
    <w:rsid w:val="005B7715"/>
    <w:rPr>
      <w:rFonts w:ascii="Courier New" w:hAnsi="Courier New" w:cs="Courier New"/>
      <w:lang w:val="es-ES" w:eastAsia="zh-TW"/>
    </w:rPr>
  </w:style>
  <w:style w:type="character" w:styleId="Textoennegrita">
    <w:name w:val="Strong"/>
    <w:qFormat/>
    <w:rsid w:val="00FF591F"/>
    <w:rPr>
      <w:b/>
      <w:bCs/>
    </w:rPr>
  </w:style>
  <w:style w:type="paragraph" w:styleId="Textodeglobo">
    <w:name w:val="Balloon Text"/>
    <w:basedOn w:val="Normal"/>
    <w:link w:val="TextodegloboCar"/>
    <w:rsid w:val="00FF591F"/>
    <w:rPr>
      <w:rFonts w:ascii="Tahoma" w:hAnsi="Tahoma"/>
      <w:sz w:val="16"/>
      <w:szCs w:val="16"/>
    </w:rPr>
  </w:style>
  <w:style w:type="character" w:customStyle="1" w:styleId="TextodegloboCar">
    <w:name w:val="Texto de globo Car"/>
    <w:link w:val="Textodeglobo"/>
    <w:rsid w:val="00FF591F"/>
    <w:rPr>
      <w:rFonts w:ascii="Tahoma" w:hAnsi="Tahoma" w:cs="Tahoma"/>
      <w:sz w:val="16"/>
      <w:szCs w:val="16"/>
      <w:lang w:eastAsia="zh-TW"/>
    </w:rPr>
  </w:style>
  <w:style w:type="paragraph" w:styleId="Textonotapie">
    <w:name w:val="footnote text"/>
    <w:basedOn w:val="Normal"/>
    <w:link w:val="TextonotapieCar"/>
    <w:rsid w:val="00BA67A4"/>
    <w:rPr>
      <w:szCs w:val="20"/>
    </w:rPr>
  </w:style>
  <w:style w:type="character" w:customStyle="1" w:styleId="TextonotapieCar">
    <w:name w:val="Texto nota pie Car"/>
    <w:link w:val="Textonotapie"/>
    <w:rsid w:val="00BA67A4"/>
    <w:rPr>
      <w:rFonts w:ascii="Arial" w:hAnsi="Arial"/>
      <w:lang w:eastAsia="zh-TW"/>
    </w:rPr>
  </w:style>
  <w:style w:type="character" w:styleId="Refdenotaalpie">
    <w:name w:val="footnote reference"/>
    <w:rsid w:val="00BA67A4"/>
    <w:rPr>
      <w:vertAlign w:val="superscript"/>
    </w:rPr>
  </w:style>
  <w:style w:type="character" w:styleId="Hipervnculovisitado">
    <w:name w:val="FollowedHyperlink"/>
    <w:rsid w:val="00EE5573"/>
    <w:rPr>
      <w:color w:val="800080"/>
      <w:u w:val="single"/>
    </w:rPr>
  </w:style>
  <w:style w:type="character" w:styleId="Refdecomentario">
    <w:name w:val="annotation reference"/>
    <w:uiPriority w:val="99"/>
    <w:rsid w:val="007F4338"/>
    <w:rPr>
      <w:sz w:val="16"/>
      <w:szCs w:val="16"/>
    </w:rPr>
  </w:style>
  <w:style w:type="paragraph" w:styleId="Textocomentario">
    <w:name w:val="annotation text"/>
    <w:basedOn w:val="Normal"/>
    <w:link w:val="TextocomentarioCar"/>
    <w:uiPriority w:val="99"/>
    <w:rsid w:val="007F4338"/>
    <w:rPr>
      <w:szCs w:val="20"/>
    </w:rPr>
  </w:style>
  <w:style w:type="character" w:customStyle="1" w:styleId="TextocomentarioCar">
    <w:name w:val="Texto comentario Car"/>
    <w:link w:val="Textocomentario"/>
    <w:uiPriority w:val="99"/>
    <w:rsid w:val="007F4338"/>
    <w:rPr>
      <w:rFonts w:ascii="Arial" w:hAnsi="Arial"/>
      <w:lang w:eastAsia="zh-TW"/>
    </w:rPr>
  </w:style>
  <w:style w:type="paragraph" w:styleId="Asuntodelcomentario">
    <w:name w:val="annotation subject"/>
    <w:basedOn w:val="Textocomentario"/>
    <w:next w:val="Textocomentario"/>
    <w:link w:val="AsuntodelcomentarioCar"/>
    <w:rsid w:val="007F4338"/>
    <w:rPr>
      <w:b/>
      <w:bCs/>
    </w:rPr>
  </w:style>
  <w:style w:type="character" w:customStyle="1" w:styleId="AsuntodelcomentarioCar">
    <w:name w:val="Asunto del comentario Car"/>
    <w:link w:val="Asuntodelcomentario"/>
    <w:rsid w:val="007F4338"/>
    <w:rPr>
      <w:rFonts w:ascii="Arial" w:hAnsi="Arial"/>
      <w:b/>
      <w:bCs/>
      <w:lang w:eastAsia="zh-TW"/>
    </w:rPr>
  </w:style>
  <w:style w:type="paragraph" w:styleId="Prrafodelista">
    <w:name w:val="List Paragraph"/>
    <w:basedOn w:val="Normal"/>
    <w:uiPriority w:val="34"/>
    <w:qFormat/>
    <w:rsid w:val="00EF7D7C"/>
    <w:pPr>
      <w:ind w:left="720"/>
      <w:contextualSpacing/>
    </w:pPr>
  </w:style>
  <w:style w:type="paragraph" w:styleId="Puesto">
    <w:name w:val="Title"/>
    <w:basedOn w:val="Normal"/>
    <w:next w:val="Normal"/>
    <w:link w:val="PuestoCar"/>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PuestoCar">
    <w:name w:val="Puesto Car"/>
    <w:link w:val="Puesto"/>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Revisin">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283340146">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ustomXml" Target="../customXml/item6.xml"/><Relationship Id="rId10" Type="http://schemas.openxmlformats.org/officeDocument/2006/relationships/footnotes" Target="footnotes.xml"/><Relationship Id="rId19" Type="http://schemas.openxmlformats.org/officeDocument/2006/relationships/hyperlink" Target="mailto:gonzalez.laura@froniu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259</Value>
    </TaxCatchAll>
    <Resolution xmlns="dc0c2c3d-e9fc-4a0d-820b-87ab82e65f20" xsi:nil="true"/>
    <Country xmlns="dc0c2c3d-e9fc-4a0d-820b-87ab82e65f20">
      <Value>38</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9567;SE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C-100396</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M-128424</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PW_PR_TPSi_TWIN_ES</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3457UUQQYVA2-1576582820-9567</_dlc_DocId>
    <_dlc_DocIdUrl xmlns="92f60987-cbcc-4245-baaf-239af3bfd6e8">
      <Url>https://downloads.fronius.com/_layouts/15/DocIdRedir.aspx?ID=3457UUQQYVA2-1576582820-9567</Url>
      <Description>3457UUQQYVA2-1576582820-9567</Description>
    </_dlc_DocIdUrl>
  </documentManagement>
</p:properties>
</file>

<file path=customXml/item4.xml><?xml version="1.0" encoding="utf-8"?>
<?mso-contentType ?>
<SharedContentType xmlns="Microsoft.SharePoint.Taxonomy.ContentTypeSync" SourceId="3e123716-e57e-43df-bff4-d192656f6566" ContentTypeId="0x01" PreviousValue="false"/>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2.xml><?xml version="1.0" encoding="utf-8"?>
<ds:datastoreItem xmlns:ds="http://schemas.openxmlformats.org/officeDocument/2006/customXml" ds:itemID="{53150A52-8975-49E7-9ABB-B03B6B9283A2}"/>
</file>

<file path=customXml/itemProps3.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4.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5.xml><?xml version="1.0" encoding="utf-8"?>
<ds:datastoreItem xmlns:ds="http://schemas.openxmlformats.org/officeDocument/2006/customXml" ds:itemID="{7FD70E11-EC8F-4E03-A4F7-FFCE08954476}">
  <ds:schemaRefs>
    <ds:schemaRef ds:uri="http://schemas.openxmlformats.org/officeDocument/2006/bibliography"/>
  </ds:schemaRefs>
</ds:datastoreItem>
</file>

<file path=customXml/itemProps6.xml><?xml version="1.0" encoding="utf-8"?>
<ds:datastoreItem xmlns:ds="http://schemas.openxmlformats.org/officeDocument/2006/customXml" ds:itemID="{CA9BABDA-A127-4772-9617-8F69BEC74576}"/>
</file>

<file path=docProps/app.xml><?xml version="1.0" encoding="utf-8"?>
<Properties xmlns="http://schemas.openxmlformats.org/officeDocument/2006/extended-properties" xmlns:vt="http://schemas.openxmlformats.org/officeDocument/2006/docPropsVTypes">
  <Template>Fronius-Standardvorlage.dotm</Template>
  <TotalTime>21</TotalTime>
  <Pages>3</Pages>
  <Words>1179</Words>
  <Characters>6889</Characters>
  <Application>Microsoft Office Word</Application>
  <DocSecurity>0</DocSecurity>
  <Lines>57</Lines>
  <Paragraphs>16</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8052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PW_PR_TPSi_TWIN_ES</dc:title>
  <dc:subject/>
  <dc:creator>Demirok Fidan</dc:creator>
  <cp:keywords/>
  <cp:lastModifiedBy>Gonzalez Laura</cp:lastModifiedBy>
  <cp:revision>8</cp:revision>
  <cp:lastPrinted>2016-07-21T12:13:00Z</cp:lastPrinted>
  <dcterms:created xsi:type="dcterms:W3CDTF">2019-06-28T08:41:00Z</dcterms:created>
  <dcterms:modified xsi:type="dcterms:W3CDTF">2019-06-28T09:05:00Z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8;acbd67c0-feba-4b17-8436-7d8f6d9fec2a,8;beb323fc-0212-4837-8558-f431e1d953f5,96;beb323fc-0212-4837-8558-f431e1d953f5,100;beb323fc-0212-4837-8558-f431e1d953f5,105;f23899af-90e5-4213-b122-4e07c0f837c2,109;f23899af-90e5-4213-b122-4e07c0f837c2,113;f23899af-90e5-4213-b122-4e07c0f837c2,116;f23899af-90e5-4213-b122-4e07c0f837c2,120;f23899af-90e5-4213-b122-4e07c0f837c2,123;f23899af-90e5-4213-b122-4e07c0f837c2,127;f23899af-90e5-4213-b122-4e07c0f837c2,130;f23899af-90e5-4213-b122-4e07c0f837c2,134;f23899af-90e5-4213-b122-4e07c0f837c2,137;f23899af-90e5-4213-b122-4e07c0f837c2,141;f23899af-90e5-4213-b122-4e07c0f837c2,145;f23899af-90e5-4213-b122-4e07c0f837c2,149;f23899af-90e5-4213-b122-4e07c0f837c2,152;f23899af-90e5-4213-b122-4e07c0f837c2,155;f23899af-90e5-4213-b122-4e07c0f837c2,158;f23899af-90e5-4213-b122-4e07c0f837c2,161;f23899af-90e5-4213-b122-4e07c0f837c2,165;f23899af-90e5-4213-b122-4e07c0f837c2,168;f23899af-90e5-4213-b122-4e07c0f837c2,171;f23899af-90e5-4213-b122-4e07c0f837c2,174;f23899af-90e5-4213-b122-4e07c0f837c2,177;f23899af-90e5-4213-b122-4e07c0f837c2,180;f23899af-90e5-4213-b122-4e07c0f837c2,184;f23899af-90e5-4213-b122-4e07c0f837c2,188;f23899af-90e5-4213-b122-4e07c0f837c2,192;f23899af-90e5-4213-b122-4e07c0f837c2,195;f23899af-90e5-4213-b122-4e07c0f837c2,198;f23899af-90e5-4213-b122-4e07c0f837c2,202;f23899af-90e5-4213-b122-4e07c0f837c2,206;f23899af-90e5-4213-b122-4e07c0f837c2,210;f23899af-90e5-4213-b122-4e07c0f837c2,213;f23899af-90e5-4213-b122-4e07c0f837c2,216;a8dd0ddf-bfd4-44dd-a6bb-0c3c9675194c,219;a8dd0ddf-bfd4-44dd-a6bb-0c3c9675194c,219;6d1b5151-d866-4942-aea1-17c7cb28edce,245;6d1b5151-d866-4942-aea1-17c7cb28edce,249;84063e84-3b90-4264-9d91-20c80f9713f8,301;84063e84-3b90-4264-9d91-20c80f9713f8,301;84063e84-3b90-4264-9d91-20c80f9713f8,305;84063e84-3b90-4264-9d91-20c80f9713f8,318;</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259;##ES|dd4c9c45-94c3-4cf4-ab9c-523f2b58f76e</vt:lpwstr>
  </property>
  <property fmtid="{D5CDD505-2E9C-101B-9397-08002B2CF9AE}" pid="12" name="DisableEventReceiver">
    <vt:bool>false</vt:bool>
  </property>
  <property fmtid="{D5CDD505-2E9C-101B-9397-08002B2CF9AE}" pid="13" name="_dlc_DocIdItemGuid">
    <vt:lpwstr>e59cd8eb-8750-4f3e-8d34-09e3ced77f33</vt:lpwstr>
  </property>
</Properties>
</file>