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ore.xml" ContentType="application/vnd.openxmlformats-package.core-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268F29" w14:textId="77777777" w:rsidR="00377B4F" w:rsidRPr="00EF7D7C" w:rsidRDefault="00377B4F" w:rsidP="003F6E14">
      <w:pPr>
        <w:rPr>
          <w:rFonts w:cs="Arial"/>
          <w:lang w:val="de-DE"/>
        </w:rPr>
      </w:pPr>
    </w:p>
    <w:p w14:paraId="154EF782" w14:textId="77777777" w:rsidR="006021F3" w:rsidRPr="00EF7D7C" w:rsidRDefault="006021F3" w:rsidP="003F6E14">
      <w:pPr>
        <w:rPr>
          <w:rFonts w:cs="Arial"/>
          <w:lang w:val="de-DE"/>
        </w:rPr>
      </w:pPr>
    </w:p>
    <w:p w14:paraId="1179E104" w14:textId="77777777" w:rsidR="006021F3" w:rsidRPr="00EF7D7C" w:rsidRDefault="006021F3" w:rsidP="003F6E14">
      <w:pPr>
        <w:rPr>
          <w:rFonts w:cs="Arial"/>
          <w:lang w:val="de-DE"/>
        </w:rPr>
        <w:sectPr w:rsidR="006021F3" w:rsidRPr="00EF7D7C" w:rsidSect="008527B9">
          <w:headerReference w:type="default" r:id="rId12"/>
          <w:footerReference w:type="default" r:id="rId13"/>
          <w:pgSz w:w="11906" w:h="16838"/>
          <w:pgMar w:top="1977" w:right="746" w:bottom="1134" w:left="1260" w:header="708" w:footer="481" w:gutter="0"/>
          <w:cols w:space="708"/>
          <w:docGrid w:linePitch="360"/>
        </w:sectPr>
      </w:pPr>
    </w:p>
    <w:p w14:paraId="0BB9FF11" w14:textId="77777777" w:rsidR="005B7715" w:rsidRPr="007D19E2" w:rsidRDefault="002937C4" w:rsidP="003F6E14">
      <w:pPr>
        <w:pStyle w:val="berschrift1"/>
        <w:spacing w:before="0" w:after="0"/>
      </w:pPr>
      <w:r>
        <w:lastRenderedPageBreak/>
        <w:t>TISKOVÁ ZPRÁVA</w:t>
      </w:r>
    </w:p>
    <w:p w14:paraId="797AF3E2" w14:textId="77777777" w:rsidR="00A206DD" w:rsidRPr="007D19E2" w:rsidRDefault="00A206DD" w:rsidP="003F6E14">
      <w:pPr>
        <w:rPr>
          <w:rFonts w:cs="Arial"/>
          <w:szCs w:val="20"/>
          <w:lang w:val="de-DE"/>
        </w:rPr>
      </w:pPr>
    </w:p>
    <w:p w14:paraId="7CEB1497" w14:textId="77777777" w:rsidR="003F6E14" w:rsidRPr="00742B19" w:rsidRDefault="003F6E14" w:rsidP="003F6E14">
      <w:pPr>
        <w:pStyle w:val="Titel"/>
        <w:pBdr>
          <w:bottom w:val="none" w:sz="0" w:space="0" w:color="auto"/>
        </w:pBdr>
        <w:spacing w:after="0"/>
        <w:rPr>
          <w:rFonts w:ascii="Arial" w:hAnsi="Arial"/>
          <w:b/>
          <w:color w:val="000000"/>
          <w:sz w:val="28"/>
          <w:lang w:val="de-DE"/>
        </w:rPr>
      </w:pPr>
    </w:p>
    <w:p w14:paraId="6181EFD9" w14:textId="77777777" w:rsidR="00AE2683" w:rsidRPr="00FD0D41" w:rsidRDefault="0068168E" w:rsidP="003F6E14">
      <w:pPr>
        <w:pStyle w:val="Titel"/>
        <w:pBdr>
          <w:bottom w:val="none" w:sz="0" w:space="0" w:color="auto"/>
        </w:pBdr>
        <w:spacing w:after="0"/>
        <w:rPr>
          <w:rFonts w:ascii="Arial" w:hAnsi="Arial" w:cs="Arial"/>
          <w:b/>
          <w:color w:val="000000"/>
          <w:sz w:val="28"/>
          <w:szCs w:val="22"/>
        </w:rPr>
      </w:pPr>
      <w:r>
        <w:rPr>
          <w:rFonts w:ascii="Arial" w:hAnsi="Arial"/>
          <w:b/>
          <w:color w:val="000000"/>
          <w:sz w:val="28"/>
        </w:rPr>
        <w:t>Dokonalý duet pro vyšší efektivitu</w:t>
      </w:r>
    </w:p>
    <w:p w14:paraId="50DB2F93" w14:textId="77777777" w:rsidR="00AE2683" w:rsidRDefault="00742B19" w:rsidP="003F6E14">
      <w:pPr>
        <w:rPr>
          <w:rFonts w:cs="Arial"/>
          <w:b/>
          <w:szCs w:val="20"/>
        </w:rPr>
      </w:pPr>
      <w:r>
        <w:rPr>
          <w:b/>
          <w:szCs w:val="20"/>
        </w:rPr>
        <w:t>Tandemové svařování TPS/i TWIN Push od společnosti Fronius</w:t>
      </w:r>
    </w:p>
    <w:p w14:paraId="03BCE8C8" w14:textId="77777777" w:rsidR="00742B19" w:rsidRPr="00431325" w:rsidRDefault="00742B19" w:rsidP="003F6E14">
      <w:pPr>
        <w:rPr>
          <w:rFonts w:cs="Arial"/>
          <w:b/>
          <w:szCs w:val="20"/>
          <w:lang w:val="en-US"/>
        </w:rPr>
      </w:pPr>
    </w:p>
    <w:p w14:paraId="013AF3FC" w14:textId="77777777" w:rsidR="00AE2683" w:rsidRPr="00431325" w:rsidRDefault="00AE2683" w:rsidP="003F6E14">
      <w:pPr>
        <w:rPr>
          <w:rFonts w:cs="Arial"/>
          <w:b/>
          <w:szCs w:val="20"/>
          <w:lang w:val="en-US"/>
        </w:rPr>
      </w:pPr>
    </w:p>
    <w:p w14:paraId="4DAECE48" w14:textId="3A678E22" w:rsidR="00283F56" w:rsidRDefault="00283F56" w:rsidP="003F6E14">
      <w:pPr>
        <w:rPr>
          <w:rFonts w:cs="Arial"/>
          <w:b/>
          <w:szCs w:val="20"/>
        </w:rPr>
      </w:pPr>
      <w:r>
        <w:rPr>
          <w:b/>
          <w:szCs w:val="20"/>
        </w:rPr>
        <w:t>Společnost Fronius nabízí svůj tandemový svařovací proces nyní také u svařovacích zdrojů platformy TPS/i. Vysokovýkonný svařovací systém TPS/i TWIN Push není jen kompaktnější, snadněji ovladatelný a propojitelný, ale přináší také vylepšení svařovacího procesu. Pro uživatele to znamená vyšší odtavný výkon, vyšší rychlost svařování a díky nižším nákladům na dokončovací práce také vyšší efektivitu ve výrobě.</w:t>
      </w:r>
    </w:p>
    <w:p w14:paraId="347BFB53" w14:textId="77777777" w:rsidR="00AE2683" w:rsidRPr="00431325" w:rsidRDefault="00AE2683" w:rsidP="003F6E14">
      <w:pPr>
        <w:rPr>
          <w:rFonts w:eastAsia="Times New Roman" w:cs="Arial"/>
          <w:b/>
          <w:szCs w:val="20"/>
        </w:rPr>
      </w:pPr>
    </w:p>
    <w:p w14:paraId="136569EF" w14:textId="389E506A" w:rsidR="005F13D7" w:rsidRDefault="006054EA" w:rsidP="005F13D7">
      <w:pPr>
        <w:rPr>
          <w:rFonts w:cs="Arial"/>
          <w:szCs w:val="20"/>
        </w:rPr>
      </w:pPr>
      <w:r>
        <w:t>Vysokovýkonné svařování se vyznačuje vysokým odtavným výkonem, který umožňuje dosahovat velkého objemu svarů nebo vyšší rychlosti svařování. To je relevantní zejména při svařování velkoobjemových dílů nebo dlouhých svarů u stavebních strojů, užitkových vozidel, ale i automobilových dílů a v loďařství. Vysoce výkonný procesor svařovacího zdroje TPS/i zlepšuje synchronizovaný tandemový proces TWIN Push. Tento proces je ještě stabilnější a spolehlivější a vyšší přemostitelnost spár navíc šetří uživateli čas potřebný na přípravu dílu. Také dokončovacích prací je méně, protože přesná regulace svařovacího procesu umožňuje kontrolované uvolnění kapky a nízký vnos tepla do dílu a tím poskytuje výsledky s minimálním rozstřikem a minimální deformací.</w:t>
      </w:r>
    </w:p>
    <w:p w14:paraId="349DB3F1" w14:textId="77777777" w:rsidR="00D72E53" w:rsidRPr="00431325" w:rsidRDefault="00D72E53" w:rsidP="008F345C">
      <w:pPr>
        <w:rPr>
          <w:rFonts w:cs="Arial"/>
          <w:szCs w:val="20"/>
        </w:rPr>
      </w:pPr>
    </w:p>
    <w:p w14:paraId="0A2DFC88" w14:textId="10ACBC8F" w:rsidR="00262FAC" w:rsidRDefault="00ED52BC" w:rsidP="008F345C">
      <w:pPr>
        <w:rPr>
          <w:rFonts w:cs="Arial"/>
          <w:szCs w:val="20"/>
        </w:rPr>
      </w:pPr>
      <w:r>
        <w:t>Systém TPS/i TWIN Push od společnosti Fronius nabízí nové varianty procesu a regulace: PMC (Pulse Multi Control) TWIN se vyznačuje krátkým, zaostřeným pulzním obloukem a tím zajišťuje lepší průvar a vyšší rychlost svařování. Rozšířená výbava PulseSync dovoluje uživateli zvolit pro drátové elektrody navzájem velmi odlišné rychlosti posuvu. Díky tomu má uživatel větší prostor pro nastavení ideálních svařovacích parametrů pro konkrétní díl a může tak dosahovat vyšších rychlostí svařování. Svařovací zdroj přitom automaticky koriguje všechny relevantní parametry, např. zapalovací vlastnosti, okamžik uvolnění kapky a poměr pulzů. Svářeče navíc podporují nové regulační mechanismy: Stabilizátor délky oblouku a stabilizátor průvaru zvyšují stabilitu procesu a usnadňují parametrizaci. Pokud se změní poloha styčného místa, např. kvůli deformaci dílu nebo nepřesnému upnutí, pomůže automatické vyhledání svaru: Během svařování svařovací systém předá robotu signál pro vyhledání svaru, aby robot svar v případě potřeby opravil.</w:t>
      </w:r>
    </w:p>
    <w:p w14:paraId="76F2206F" w14:textId="77777777" w:rsidR="00262FAC" w:rsidRPr="00431325" w:rsidRDefault="00262FAC" w:rsidP="008F345C">
      <w:pPr>
        <w:rPr>
          <w:rFonts w:cs="Arial"/>
          <w:szCs w:val="20"/>
        </w:rPr>
      </w:pPr>
    </w:p>
    <w:p w14:paraId="04512EE7" w14:textId="77777777" w:rsidR="00D73B2F" w:rsidRPr="00742B19" w:rsidRDefault="00742B19" w:rsidP="006054EA">
      <w:pPr>
        <w:rPr>
          <w:rFonts w:cs="Arial"/>
          <w:b/>
          <w:szCs w:val="20"/>
        </w:rPr>
      </w:pPr>
      <w:r>
        <w:rPr>
          <w:b/>
          <w:szCs w:val="20"/>
        </w:rPr>
        <w:t>Sofistikovaný systém – dlouhá životnost</w:t>
      </w:r>
    </w:p>
    <w:p w14:paraId="3980F7F6" w14:textId="77777777" w:rsidR="004F2F46" w:rsidRPr="00431325" w:rsidRDefault="004F2F46" w:rsidP="004F2F46">
      <w:pPr>
        <w:rPr>
          <w:rFonts w:cs="Arial"/>
          <w:szCs w:val="20"/>
        </w:rPr>
      </w:pPr>
    </w:p>
    <w:p w14:paraId="23B55A02" w14:textId="7B26340E" w:rsidR="008F345C" w:rsidRDefault="004F2F46" w:rsidP="003F6E14">
      <w:pPr>
        <w:rPr>
          <w:rFonts w:cs="Arial"/>
          <w:szCs w:val="20"/>
        </w:rPr>
      </w:pPr>
      <w:r>
        <w:t xml:space="preserve">Proces TWIN je založen na tandemovém svařování, při kterém se v jednom svařovacím hořáku se společnou plynovou hubicí posouvají dvě drátové elektrody, které ale zůstávají navzájem elektricky izolované. Tím lze oblouky individuálně regulovat a – i při rozdílném výkonu – přesně synchronizovat a vzájemně sladit. Kromě dvou svařovacích zdrojů TPS/i využívá systém TWIN Push také zařízení TWIN Controller. Toto zařízení synchronizuje svařovací proces a funguje jako </w:t>
      </w:r>
      <w:r>
        <w:lastRenderedPageBreak/>
        <w:t>rozhraní, které je kompatibilní s roboty všech značek. Svařovací systém je doplněn o kompaktní podavač drátu, chlazení, hadicové vedení a svařovací hořák TWIN.</w:t>
      </w:r>
    </w:p>
    <w:p w14:paraId="7F4AB6B2" w14:textId="77777777" w:rsidR="008F345C" w:rsidRPr="00431325" w:rsidRDefault="008F345C" w:rsidP="003F6E14">
      <w:pPr>
        <w:rPr>
          <w:rFonts w:cs="Arial"/>
          <w:szCs w:val="20"/>
        </w:rPr>
      </w:pPr>
    </w:p>
    <w:p w14:paraId="704FBECD" w14:textId="3EAC2726" w:rsidR="002B21C3" w:rsidRPr="00CB251A" w:rsidRDefault="0068168E" w:rsidP="0068168E">
      <w:pPr>
        <w:rPr>
          <w:rFonts w:cs="Arial"/>
          <w:szCs w:val="20"/>
        </w:rPr>
      </w:pPr>
      <w:r>
        <w:t>Vylepšené chlazení svařovacího hořáku prodlužuje životnost spotřebních dílů. Společnost Fronius také vyvinula servisní stanici svařovacího hořáku Robacta TSS/i: Čisticí systém svařovacího hořáku spojuje různé metody čištění, např. vysokotlaké čištění, kartáčování a magnetické čištění, ale také čištění pomocí frézky. Profesionální čištění hořáku díky prodloužení životnosti spotřebních dílů snižuje celkové náklady.</w:t>
      </w:r>
    </w:p>
    <w:p w14:paraId="3E57AD4B" w14:textId="77777777" w:rsidR="00F13681" w:rsidRPr="00431325" w:rsidRDefault="00F13681" w:rsidP="003F6E14">
      <w:pPr>
        <w:rPr>
          <w:rFonts w:cs="Arial"/>
          <w:szCs w:val="20"/>
        </w:rPr>
      </w:pPr>
    </w:p>
    <w:p w14:paraId="75A3B335" w14:textId="4B6AB510" w:rsidR="00FD1C8A" w:rsidRDefault="001F2E3B" w:rsidP="003F6E14">
      <w:pPr>
        <w:rPr>
          <w:rFonts w:cs="Arial"/>
          <w:szCs w:val="20"/>
        </w:rPr>
      </w:pPr>
      <w:r>
        <w:t>Efektivitu svařovacího systému lze dále zvýšit použitím výměnné stanice svařovacích hořáků TX TWIN: Konzola umožňuje automatizované střídání těl svařovacích hořáků TWIN a Single. Tentýž systém tak může na velmi těžko přístupných místech svařovat s kompaktnějším tělem svařovacího hořáku Single. Robot mění těla hořáků samostatně, díky tomu je možné zavést plně automatické směny.</w:t>
      </w:r>
    </w:p>
    <w:p w14:paraId="449FE299" w14:textId="77777777" w:rsidR="005B0718" w:rsidRPr="00431325" w:rsidRDefault="005B0718" w:rsidP="003F6E14">
      <w:pPr>
        <w:rPr>
          <w:rFonts w:cs="Arial"/>
          <w:color w:val="FF0000"/>
          <w:szCs w:val="20"/>
        </w:rPr>
      </w:pPr>
    </w:p>
    <w:p w14:paraId="44C4E4F1" w14:textId="77777777" w:rsidR="002A1356" w:rsidRPr="00431325" w:rsidRDefault="002A1356" w:rsidP="003F6E14">
      <w:pPr>
        <w:rPr>
          <w:rFonts w:cs="Arial"/>
          <w:szCs w:val="20"/>
        </w:rPr>
      </w:pPr>
    </w:p>
    <w:p w14:paraId="508FD7D4" w14:textId="4A64018D" w:rsidR="00ED4FC0" w:rsidRPr="00AE2683" w:rsidRDefault="00431325" w:rsidP="003F6E14">
      <w:pPr>
        <w:rPr>
          <w:rFonts w:cs="Arial"/>
          <w:i/>
          <w:szCs w:val="20"/>
        </w:rPr>
      </w:pPr>
      <w:r>
        <w:rPr>
          <w:i/>
          <w:szCs w:val="20"/>
        </w:rPr>
        <w:t>3 732</w:t>
      </w:r>
      <w:r w:rsidR="00E24368">
        <w:rPr>
          <w:i/>
          <w:szCs w:val="20"/>
        </w:rPr>
        <w:t xml:space="preserve"> znaků včetně mezer</w:t>
      </w:r>
    </w:p>
    <w:p w14:paraId="3957B788" w14:textId="77777777" w:rsidR="00505D71" w:rsidRPr="00431325" w:rsidRDefault="00505D71" w:rsidP="003F6E14">
      <w:pPr>
        <w:rPr>
          <w:rFonts w:cs="Arial"/>
          <w:b/>
          <w:szCs w:val="20"/>
          <w:lang w:val="en-US"/>
        </w:rPr>
      </w:pPr>
    </w:p>
    <w:p w14:paraId="6614926E" w14:textId="77777777" w:rsidR="00A64948" w:rsidRPr="00431325" w:rsidRDefault="00A64948" w:rsidP="003F6E14">
      <w:pPr>
        <w:rPr>
          <w:rFonts w:cs="Arial"/>
          <w:b/>
          <w:szCs w:val="20"/>
          <w:lang w:val="en-US"/>
        </w:rPr>
      </w:pPr>
    </w:p>
    <w:p w14:paraId="3E427A40" w14:textId="77777777" w:rsidR="00A64948" w:rsidRPr="00DD3CF2" w:rsidRDefault="00A64948" w:rsidP="00A64948">
      <w:pPr>
        <w:rPr>
          <w:b/>
        </w:rPr>
      </w:pPr>
      <w:r>
        <w:rPr>
          <w:b/>
        </w:rPr>
        <w:t>[Navigation title: Webová stránka]</w:t>
      </w:r>
    </w:p>
    <w:p w14:paraId="1758BF7F" w14:textId="77777777" w:rsidR="00A64948" w:rsidRPr="0095114F" w:rsidRDefault="002F6645" w:rsidP="00A64948">
      <w:r>
        <w:t>TPS/i TWIN Push – tandemové svařování</w:t>
      </w:r>
    </w:p>
    <w:p w14:paraId="42B7213C" w14:textId="77777777" w:rsidR="002F6645" w:rsidRPr="0095114F" w:rsidRDefault="002F6645" w:rsidP="00A64948"/>
    <w:p w14:paraId="0682DA2F" w14:textId="77777777" w:rsidR="00A64948" w:rsidRPr="00DD3CF2" w:rsidRDefault="00A64948" w:rsidP="00A64948">
      <w:pPr>
        <w:rPr>
          <w:b/>
        </w:rPr>
      </w:pPr>
      <w:r>
        <w:rPr>
          <w:b/>
        </w:rPr>
        <w:t>[Display name: URL]</w:t>
      </w:r>
    </w:p>
    <w:p w14:paraId="64F8F951" w14:textId="77777777" w:rsidR="00A64948" w:rsidRDefault="002F6645" w:rsidP="00A64948">
      <w:r>
        <w:t>tpsi-twin-push</w:t>
      </w:r>
    </w:p>
    <w:p w14:paraId="3E8173C4" w14:textId="77777777" w:rsidR="002F6645" w:rsidRPr="00283F56" w:rsidRDefault="002F6645" w:rsidP="00A64948"/>
    <w:p w14:paraId="0742E9CB" w14:textId="77777777" w:rsidR="00A64948" w:rsidRPr="00DD3CF2" w:rsidRDefault="00946FAE" w:rsidP="00A64948">
      <w:pPr>
        <w:rPr>
          <w:b/>
        </w:rPr>
      </w:pPr>
      <w:r>
        <w:rPr>
          <w:b/>
        </w:rPr>
        <w:t>[Meta title]</w:t>
      </w:r>
    </w:p>
    <w:p w14:paraId="2D0FBE14" w14:textId="77777777" w:rsidR="002F6645" w:rsidRPr="002F6645" w:rsidRDefault="002F6645" w:rsidP="002F6645">
      <w:pPr>
        <w:rPr>
          <w:rFonts w:cs="Arial"/>
          <w:szCs w:val="20"/>
        </w:rPr>
      </w:pPr>
      <w:r>
        <w:t>Tandemové svařování TPS/i TWIN Push od společnosti Fronius pro vyšší efektivitu</w:t>
      </w:r>
    </w:p>
    <w:p w14:paraId="4FFBDAFC" w14:textId="77777777" w:rsidR="002F6645" w:rsidRPr="00431325" w:rsidRDefault="002F6645" w:rsidP="00A64948">
      <w:pPr>
        <w:rPr>
          <w:lang w:val="en-US"/>
        </w:rPr>
      </w:pPr>
    </w:p>
    <w:p w14:paraId="0C0CC799" w14:textId="2FFEDF6A" w:rsidR="00A64948" w:rsidRPr="00DD3CF2" w:rsidRDefault="00A64948" w:rsidP="00A64948">
      <w:pPr>
        <w:rPr>
          <w:b/>
        </w:rPr>
      </w:pPr>
      <w:r>
        <w:rPr>
          <w:b/>
        </w:rPr>
        <w:t>[Meta popis]</w:t>
      </w:r>
    </w:p>
    <w:p w14:paraId="6151E816" w14:textId="57B10213" w:rsidR="002F6645" w:rsidRPr="002F6645" w:rsidRDefault="002357F0" w:rsidP="002F6645">
      <w:pPr>
        <w:rPr>
          <w:rFonts w:cs="Arial"/>
          <w:szCs w:val="20"/>
        </w:rPr>
      </w:pPr>
      <w:r>
        <w:t>Vysokovýkonné svařování se systémem TPS/i TWIN Push umožňuje dosahovat vyšších odtavných výkonů a rychlostí svařování a snižuje náklady na dokončovací práce.</w:t>
      </w:r>
    </w:p>
    <w:p w14:paraId="52C2F525" w14:textId="77777777" w:rsidR="00A64948" w:rsidRPr="00431325" w:rsidRDefault="00A64948" w:rsidP="003F6E14">
      <w:pPr>
        <w:rPr>
          <w:rFonts w:cs="Arial"/>
          <w:szCs w:val="20"/>
          <w:lang w:val="en-US"/>
        </w:rPr>
      </w:pPr>
    </w:p>
    <w:p w14:paraId="472984C6" w14:textId="77777777" w:rsidR="0017721C" w:rsidRPr="00431325" w:rsidRDefault="0017721C" w:rsidP="003F6E14">
      <w:pPr>
        <w:rPr>
          <w:rFonts w:cs="Arial"/>
          <w:b/>
          <w:szCs w:val="20"/>
          <w:lang w:val="en-US"/>
        </w:rPr>
      </w:pPr>
    </w:p>
    <w:p w14:paraId="1C437964" w14:textId="77777777" w:rsidR="00A72F91" w:rsidRPr="00AE2683" w:rsidRDefault="00634499" w:rsidP="003F6E14">
      <w:pPr>
        <w:rPr>
          <w:rFonts w:cs="Arial"/>
          <w:b/>
          <w:szCs w:val="20"/>
        </w:rPr>
      </w:pPr>
      <w:r>
        <w:rPr>
          <w:b/>
          <w:szCs w:val="20"/>
        </w:rPr>
        <w:t xml:space="preserve">Popisy obrázků: </w:t>
      </w:r>
    </w:p>
    <w:p w14:paraId="6394A8D9" w14:textId="77777777" w:rsidR="00DA654E" w:rsidRDefault="00DA654E" w:rsidP="003F6E14">
      <w:pPr>
        <w:rPr>
          <w:rFonts w:cs="Arial"/>
          <w:szCs w:val="20"/>
          <w:lang w:val="de-DE"/>
        </w:rPr>
      </w:pPr>
    </w:p>
    <w:p w14:paraId="591E7D86" w14:textId="48431FF8" w:rsidR="00FC3AF3" w:rsidRPr="00AE2683" w:rsidRDefault="00B77353" w:rsidP="003F6E14">
      <w:pPr>
        <w:rPr>
          <w:rFonts w:cs="Arial"/>
          <w:szCs w:val="20"/>
        </w:rPr>
      </w:pPr>
      <w:r>
        <w:rPr>
          <w:noProof/>
          <w:lang w:val="de-AT" w:eastAsia="de-AT"/>
        </w:rPr>
        <w:drawing>
          <wp:inline distT="0" distB="0" distL="0" distR="0" wp14:anchorId="522E4522" wp14:editId="483E5E97">
            <wp:extent cx="1993906" cy="1333500"/>
            <wp:effectExtent l="0" t="0" r="635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email">
                      <a:extLst>
                        <a:ext uri="{28A0092B-C50C-407E-A947-70E740481C1C}">
                          <a14:useLocalDpi xmlns:a14="http://schemas.microsoft.com/office/drawing/2010/main"/>
                        </a:ext>
                      </a:extLst>
                    </a:blip>
                    <a:stretch>
                      <a:fillRect/>
                    </a:stretch>
                  </pic:blipFill>
                  <pic:spPr>
                    <a:xfrm>
                      <a:off x="0" y="0"/>
                      <a:ext cx="2001712" cy="1338721"/>
                    </a:xfrm>
                    <a:prstGeom prst="rect">
                      <a:avLst/>
                    </a:prstGeom>
                  </pic:spPr>
                </pic:pic>
              </a:graphicData>
            </a:graphic>
          </wp:inline>
        </w:drawing>
      </w:r>
    </w:p>
    <w:p w14:paraId="01C25EB7" w14:textId="7BC5EA2C" w:rsidR="00512ECD" w:rsidRDefault="00512ECD" w:rsidP="003F6E14">
      <w:pPr>
        <w:rPr>
          <w:rFonts w:cs="Arial"/>
          <w:szCs w:val="20"/>
        </w:rPr>
      </w:pPr>
      <w:r>
        <w:rPr>
          <w:b/>
          <w:szCs w:val="20"/>
        </w:rPr>
        <w:t xml:space="preserve">Obr. 1: </w:t>
      </w:r>
      <w:r>
        <w:t>Tandemový vysokovýkonný svařovací proces zajišťuje efektivní svařování velkoobjemových dílů a dlouhých svarů.</w:t>
      </w:r>
    </w:p>
    <w:p w14:paraId="18B84E93" w14:textId="77777777" w:rsidR="00C57436" w:rsidRPr="00431325" w:rsidRDefault="00C57436" w:rsidP="003F6E14">
      <w:pPr>
        <w:rPr>
          <w:rFonts w:cs="Arial"/>
          <w:b/>
          <w:szCs w:val="20"/>
        </w:rPr>
      </w:pPr>
    </w:p>
    <w:p w14:paraId="71AB2ACE" w14:textId="5D3BA10A" w:rsidR="00FC3AF3" w:rsidRDefault="00B77353" w:rsidP="003F6E14">
      <w:pPr>
        <w:rPr>
          <w:rFonts w:cs="Arial"/>
          <w:b/>
          <w:szCs w:val="20"/>
        </w:rPr>
      </w:pPr>
      <w:r>
        <w:rPr>
          <w:noProof/>
          <w:lang w:val="de-AT" w:eastAsia="de-AT"/>
        </w:rPr>
        <w:lastRenderedPageBreak/>
        <w:drawing>
          <wp:inline distT="0" distB="0" distL="0" distR="0" wp14:anchorId="539DE7DB" wp14:editId="1AB5357F">
            <wp:extent cx="1987550" cy="1479219"/>
            <wp:effectExtent l="0" t="0" r="0" b="698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email">
                      <a:extLst>
                        <a:ext uri="{28A0092B-C50C-407E-A947-70E740481C1C}">
                          <a14:useLocalDpi xmlns:a14="http://schemas.microsoft.com/office/drawing/2010/main"/>
                        </a:ext>
                      </a:extLst>
                    </a:blip>
                    <a:stretch>
                      <a:fillRect/>
                    </a:stretch>
                  </pic:blipFill>
                  <pic:spPr>
                    <a:xfrm>
                      <a:off x="0" y="0"/>
                      <a:ext cx="2014114" cy="1498989"/>
                    </a:xfrm>
                    <a:prstGeom prst="rect">
                      <a:avLst/>
                    </a:prstGeom>
                  </pic:spPr>
                </pic:pic>
              </a:graphicData>
            </a:graphic>
          </wp:inline>
        </w:drawing>
      </w:r>
    </w:p>
    <w:p w14:paraId="4E9603AA" w14:textId="77777777" w:rsidR="00FC3AF3" w:rsidRPr="00D358E5" w:rsidRDefault="00FC3AF3" w:rsidP="003F6E14">
      <w:pPr>
        <w:rPr>
          <w:rFonts w:cs="Arial"/>
          <w:szCs w:val="20"/>
        </w:rPr>
      </w:pPr>
      <w:r>
        <w:rPr>
          <w:b/>
          <w:szCs w:val="20"/>
        </w:rPr>
        <w:t xml:space="preserve">Obr. 2: </w:t>
      </w:r>
      <w:r>
        <w:t>Dvě navzájem izolované drátové elektrody umožňují individuální regulaci oblouků.</w:t>
      </w:r>
    </w:p>
    <w:p w14:paraId="6C178113" w14:textId="77777777" w:rsidR="00FC3AF3" w:rsidRPr="00431325" w:rsidRDefault="00FC3AF3" w:rsidP="003F6E14">
      <w:pPr>
        <w:rPr>
          <w:rFonts w:cs="Arial"/>
          <w:b/>
          <w:szCs w:val="20"/>
        </w:rPr>
      </w:pPr>
    </w:p>
    <w:p w14:paraId="5CBF9A74" w14:textId="277012C5" w:rsidR="00512ECD" w:rsidRPr="00AE2683" w:rsidRDefault="00B77353" w:rsidP="003F6E14">
      <w:pPr>
        <w:rPr>
          <w:rFonts w:cs="Arial"/>
          <w:b/>
          <w:szCs w:val="20"/>
        </w:rPr>
      </w:pPr>
      <w:r>
        <w:rPr>
          <w:noProof/>
          <w:lang w:val="de-AT" w:eastAsia="de-AT"/>
        </w:rPr>
        <w:drawing>
          <wp:inline distT="0" distB="0" distL="0" distR="0" wp14:anchorId="118CCE36" wp14:editId="44F25F22">
            <wp:extent cx="1441450" cy="1840621"/>
            <wp:effectExtent l="0" t="0" r="6350" b="762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email">
                      <a:extLst>
                        <a:ext uri="{28A0092B-C50C-407E-A947-70E740481C1C}">
                          <a14:useLocalDpi xmlns:a14="http://schemas.microsoft.com/office/drawing/2010/main"/>
                        </a:ext>
                      </a:extLst>
                    </a:blip>
                    <a:stretch>
                      <a:fillRect/>
                    </a:stretch>
                  </pic:blipFill>
                  <pic:spPr>
                    <a:xfrm>
                      <a:off x="0" y="0"/>
                      <a:ext cx="1450145" cy="1851724"/>
                    </a:xfrm>
                    <a:prstGeom prst="rect">
                      <a:avLst/>
                    </a:prstGeom>
                  </pic:spPr>
                </pic:pic>
              </a:graphicData>
            </a:graphic>
          </wp:inline>
        </w:drawing>
      </w:r>
    </w:p>
    <w:p w14:paraId="3D954B5A" w14:textId="77777777" w:rsidR="00512ECD" w:rsidRPr="00D358E5" w:rsidRDefault="00FC3AF3" w:rsidP="003F6E14">
      <w:pPr>
        <w:rPr>
          <w:rFonts w:cs="Arial"/>
          <w:szCs w:val="20"/>
        </w:rPr>
      </w:pPr>
      <w:r>
        <w:rPr>
          <w:b/>
          <w:szCs w:val="20"/>
        </w:rPr>
        <w:t xml:space="preserve">Obr. 3: </w:t>
      </w:r>
      <w:r>
        <w:t>Vylepšené chlazení hořáku systému TPS/i TWIN Push prodlužuje životnost spotřebních dílů.</w:t>
      </w:r>
    </w:p>
    <w:p w14:paraId="23789529" w14:textId="77777777" w:rsidR="00512ECD" w:rsidRPr="00431325" w:rsidRDefault="00512ECD" w:rsidP="003F6E14">
      <w:pPr>
        <w:rPr>
          <w:rFonts w:cs="Arial"/>
          <w:b/>
          <w:szCs w:val="20"/>
        </w:rPr>
      </w:pPr>
    </w:p>
    <w:p w14:paraId="63FF1B16" w14:textId="3FFE1C79" w:rsidR="00FC3AF3" w:rsidRDefault="00B77353" w:rsidP="003F6E14">
      <w:pPr>
        <w:rPr>
          <w:rFonts w:cs="Arial"/>
          <w:b/>
          <w:szCs w:val="20"/>
        </w:rPr>
      </w:pPr>
      <w:r>
        <w:rPr>
          <w:noProof/>
          <w:lang w:val="de-AT" w:eastAsia="de-AT"/>
        </w:rPr>
        <w:drawing>
          <wp:inline distT="0" distB="0" distL="0" distR="0" wp14:anchorId="12971298" wp14:editId="78C47AF1">
            <wp:extent cx="2018931" cy="1428750"/>
            <wp:effectExtent l="0" t="0" r="635"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email">
                      <a:extLst>
                        <a:ext uri="{28A0092B-C50C-407E-A947-70E740481C1C}">
                          <a14:useLocalDpi xmlns:a14="http://schemas.microsoft.com/office/drawing/2010/main"/>
                        </a:ext>
                      </a:extLst>
                    </a:blip>
                    <a:stretch>
                      <a:fillRect/>
                    </a:stretch>
                  </pic:blipFill>
                  <pic:spPr>
                    <a:xfrm>
                      <a:off x="0" y="0"/>
                      <a:ext cx="2026800" cy="1434319"/>
                    </a:xfrm>
                    <a:prstGeom prst="rect">
                      <a:avLst/>
                    </a:prstGeom>
                  </pic:spPr>
                </pic:pic>
              </a:graphicData>
            </a:graphic>
          </wp:inline>
        </w:drawing>
      </w:r>
    </w:p>
    <w:p w14:paraId="4CBF08FD" w14:textId="08F86801" w:rsidR="00FC3AF3" w:rsidRPr="00D358E5" w:rsidRDefault="00FC3AF3" w:rsidP="00D358E5">
      <w:pPr>
        <w:rPr>
          <w:rFonts w:cs="Arial"/>
          <w:szCs w:val="20"/>
        </w:rPr>
      </w:pPr>
      <w:r>
        <w:rPr>
          <w:b/>
          <w:szCs w:val="20"/>
        </w:rPr>
        <w:t xml:space="preserve">Obr. 4: </w:t>
      </w:r>
      <w:r>
        <w:t>Svařovací systém TPS/i TWIN Push se skládá ze dvou výkonných svařovacích zdrojů TPS/i, zařízení TWIN Controller, kompaktního podavače drátu, chlazení, hadicových vedení a svařovacího hořáku TWIN. Systém doplňuje nová čisticí stanice svařovacího hořáku Robacta TSS/i a výměnná stanice svařovacích hořáků TX TWIN.</w:t>
      </w:r>
    </w:p>
    <w:p w14:paraId="57C89E43" w14:textId="77777777" w:rsidR="00FC3AF3" w:rsidRPr="00431325" w:rsidRDefault="00FC3AF3" w:rsidP="003F6E14">
      <w:pPr>
        <w:rPr>
          <w:rFonts w:cs="Arial"/>
          <w:b/>
          <w:szCs w:val="20"/>
        </w:rPr>
      </w:pPr>
    </w:p>
    <w:p w14:paraId="466C4DB3" w14:textId="77777777" w:rsidR="00FC3AF3" w:rsidRPr="00431325" w:rsidRDefault="00FC3AF3" w:rsidP="003F6E14">
      <w:pPr>
        <w:rPr>
          <w:rFonts w:cs="Arial"/>
          <w:b/>
          <w:szCs w:val="20"/>
        </w:rPr>
      </w:pPr>
    </w:p>
    <w:p w14:paraId="5BFFCCFE" w14:textId="77777777" w:rsidR="00431325" w:rsidRPr="000B0C64" w:rsidRDefault="00431325" w:rsidP="00431325">
      <w:pPr>
        <w:rPr>
          <w:rFonts w:cs="Arial"/>
          <w:szCs w:val="20"/>
        </w:rPr>
      </w:pPr>
      <w:r w:rsidRPr="000B0C64">
        <w:rPr>
          <w:rFonts w:cs="Arial"/>
          <w:szCs w:val="20"/>
        </w:rPr>
        <w:t>Fotografie: Fronius International GmbH, reprodukce zdarma</w:t>
      </w:r>
    </w:p>
    <w:p w14:paraId="7F680E20" w14:textId="77777777" w:rsidR="00431325" w:rsidRPr="000B0C64" w:rsidRDefault="00431325" w:rsidP="00431325">
      <w:pPr>
        <w:rPr>
          <w:rFonts w:cs="Arial"/>
          <w:szCs w:val="20"/>
        </w:rPr>
      </w:pPr>
    </w:p>
    <w:p w14:paraId="55F2EA5E" w14:textId="77777777" w:rsidR="00431325" w:rsidRPr="000B0C64" w:rsidRDefault="00431325" w:rsidP="00431325">
      <w:pPr>
        <w:rPr>
          <w:rFonts w:cs="Arial"/>
          <w:szCs w:val="20"/>
          <w:lang w:val="pt-BR"/>
        </w:rPr>
      </w:pPr>
      <w:r w:rsidRPr="000B0C64">
        <w:rPr>
          <w:rFonts w:cs="Arial"/>
          <w:szCs w:val="20"/>
        </w:rPr>
        <w:t>Obrázky s vysokým rozlišením jsou také ke stažení na adrese:</w:t>
      </w:r>
    </w:p>
    <w:p w14:paraId="63160504" w14:textId="77777777" w:rsidR="00431325" w:rsidRPr="000B0C64" w:rsidRDefault="00431325" w:rsidP="00431325">
      <w:pPr>
        <w:rPr>
          <w:rFonts w:cs="Arial"/>
          <w:szCs w:val="20"/>
        </w:rPr>
      </w:pPr>
      <w:hyperlink r:id="rId18" w:history="1">
        <w:r w:rsidRPr="000B0C64">
          <w:rPr>
            <w:rFonts w:cs="Arial"/>
            <w:szCs w:val="20"/>
          </w:rPr>
          <w:t>www.fronius.com/en/welding-technology/infocentre/press</w:t>
        </w:r>
      </w:hyperlink>
    </w:p>
    <w:p w14:paraId="5ECB67BB" w14:textId="77777777" w:rsidR="00431325" w:rsidRPr="000B0C64" w:rsidRDefault="00431325" w:rsidP="00431325">
      <w:pPr>
        <w:rPr>
          <w:rFonts w:cs="Arial"/>
          <w:b/>
          <w:szCs w:val="20"/>
          <w:lang w:val="pt-BR"/>
        </w:rPr>
      </w:pPr>
    </w:p>
    <w:p w14:paraId="3C5765BF" w14:textId="77777777" w:rsidR="00431325" w:rsidRPr="000B0C64" w:rsidRDefault="00431325" w:rsidP="00431325">
      <w:pPr>
        <w:rPr>
          <w:rFonts w:cs="Arial"/>
          <w:b/>
          <w:szCs w:val="20"/>
          <w:lang w:val="pt-BR"/>
        </w:rPr>
      </w:pPr>
    </w:p>
    <w:p w14:paraId="7FE7310A" w14:textId="77777777" w:rsidR="00431325" w:rsidRPr="000B0C64" w:rsidRDefault="00431325" w:rsidP="00431325">
      <w:pPr>
        <w:rPr>
          <w:rFonts w:cs="Arial"/>
          <w:b/>
          <w:szCs w:val="20"/>
        </w:rPr>
      </w:pPr>
    </w:p>
    <w:p w14:paraId="635158F9" w14:textId="77777777" w:rsidR="00431325" w:rsidRPr="000B0C64" w:rsidRDefault="00431325" w:rsidP="00431325">
      <w:pPr>
        <w:rPr>
          <w:rFonts w:cs="Arial"/>
          <w:szCs w:val="20"/>
        </w:rPr>
      </w:pPr>
      <w:r w:rsidRPr="000B0C64">
        <w:rPr>
          <w:rFonts w:cs="Arial"/>
          <w:b/>
          <w:szCs w:val="20"/>
        </w:rPr>
        <w:t>Obchodní jednotka Perfect Welding</w:t>
      </w:r>
    </w:p>
    <w:p w14:paraId="42CF2A8A" w14:textId="77777777" w:rsidR="00431325" w:rsidRPr="000B0C64" w:rsidRDefault="00431325" w:rsidP="00431325">
      <w:pPr>
        <w:rPr>
          <w:rFonts w:cs="Arial"/>
          <w:szCs w:val="20"/>
        </w:rPr>
      </w:pPr>
      <w:r w:rsidRPr="000B0C64">
        <w:rPr>
          <w:rFonts w:cs="Arial"/>
          <w:szCs w:val="20"/>
        </w:rPr>
        <w:t>Fronius Perfect Welding je inovativní jedničkou v oblasti obloukového a odporového bodového svařování a celosvětovou jedničkou na trhu robotizovaného svařování. Odbor Fronius Welding Automation jako systémový dodavatel kromě toho realizuje zakázková automatizovaná kompletní svařovací řešení, např. v oblasti výroby nádrží nebo navařování na námořních plošinách. Portfolio doplňují svařovací zdroje pro ruční použití, příslušenství pro svařování a široké spektrum služeb. S více než 1 000 prodejních partnerů na celém světě je Fronius Perfect Welding zákazníkům velmi blízko.</w:t>
      </w:r>
    </w:p>
    <w:p w14:paraId="209FC10F" w14:textId="77777777" w:rsidR="00431325" w:rsidRPr="000B0C64" w:rsidRDefault="00431325" w:rsidP="00431325">
      <w:pPr>
        <w:rPr>
          <w:rFonts w:cs="Arial"/>
          <w:szCs w:val="20"/>
        </w:rPr>
      </w:pPr>
    </w:p>
    <w:p w14:paraId="2BBE1685" w14:textId="77777777" w:rsidR="00431325" w:rsidRPr="000B0C64" w:rsidRDefault="00431325" w:rsidP="00431325">
      <w:pPr>
        <w:rPr>
          <w:rFonts w:cs="Arial"/>
          <w:b/>
          <w:szCs w:val="20"/>
        </w:rPr>
      </w:pPr>
      <w:r w:rsidRPr="000B0C64">
        <w:rPr>
          <w:rFonts w:cs="Arial"/>
          <w:b/>
          <w:szCs w:val="20"/>
        </w:rPr>
        <w:t>Fronius International GmbH</w:t>
      </w:r>
    </w:p>
    <w:p w14:paraId="3672BD64" w14:textId="77777777" w:rsidR="00431325" w:rsidRPr="000B0C64" w:rsidRDefault="00431325" w:rsidP="00431325">
      <w:pPr>
        <w:rPr>
          <w:rFonts w:cs="Arial"/>
          <w:szCs w:val="20"/>
        </w:rPr>
      </w:pPr>
      <w:r w:rsidRPr="000B0C64">
        <w:rPr>
          <w:rFonts w:cs="Arial"/>
          <w:szCs w:val="20"/>
        </w:rPr>
        <w:t xml:space="preserve">Společnost Fronius International je rakouská firma se sídlem v Pettenbachu a dalšími pobočkami ve Welsu, Thalheimu, Steinhausu a Sattledtu. Podnik má </w:t>
      </w:r>
      <w:r>
        <w:rPr>
          <w:rFonts w:cs="Arial"/>
          <w:szCs w:val="20"/>
        </w:rPr>
        <w:t>4 760</w:t>
      </w:r>
      <w:r w:rsidRPr="00825B1B">
        <w:rPr>
          <w:rFonts w:cs="Arial"/>
          <w:szCs w:val="20"/>
        </w:rPr>
        <w:t xml:space="preserve"> </w:t>
      </w:r>
      <w:r w:rsidRPr="000B0C64">
        <w:rPr>
          <w:rFonts w:cs="Arial"/>
          <w:szCs w:val="20"/>
        </w:rPr>
        <w:t>zaměstnanců po celém světě a působí v oborech: svařovací technika, fotovoltaika a technika nabíjení</w:t>
      </w:r>
      <w:r>
        <w:rPr>
          <w:rFonts w:cs="Arial"/>
          <w:szCs w:val="20"/>
        </w:rPr>
        <w:t xml:space="preserve"> akumulátorů. Díky 30</w:t>
      </w:r>
      <w:r w:rsidRPr="000B0C64">
        <w:rPr>
          <w:rFonts w:cs="Arial"/>
          <w:szCs w:val="20"/>
        </w:rPr>
        <w:t xml:space="preserve"> mezinárodním společnostem Fronius a prodejním partnerům / zastoupením ve více než 60 zemích d</w:t>
      </w:r>
      <w:r>
        <w:rPr>
          <w:rFonts w:cs="Arial"/>
          <w:szCs w:val="20"/>
        </w:rPr>
        <w:t>osahuje podílu exportu zhruba 92</w:t>
      </w:r>
      <w:r w:rsidRPr="000B0C64">
        <w:rPr>
          <w:rFonts w:cs="Arial"/>
          <w:szCs w:val="20"/>
        </w:rPr>
        <w:t xml:space="preserve"> procenta. Díky inovativním</w:t>
      </w:r>
      <w:r>
        <w:rPr>
          <w:rFonts w:cs="Arial"/>
          <w:szCs w:val="20"/>
        </w:rPr>
        <w:t xml:space="preserve"> výrobkům a službám a také 1 253</w:t>
      </w:r>
      <w:r w:rsidRPr="000B0C64">
        <w:rPr>
          <w:rFonts w:cs="Arial"/>
          <w:szCs w:val="20"/>
        </w:rPr>
        <w:t xml:space="preserve"> uděleným patentům je společnost Fronius inovační jedničkou na světovém trhu.</w:t>
      </w:r>
    </w:p>
    <w:p w14:paraId="6AD86D55" w14:textId="77777777" w:rsidR="00431325" w:rsidRPr="000B0C64" w:rsidRDefault="00431325" w:rsidP="00431325">
      <w:pPr>
        <w:rPr>
          <w:rFonts w:cs="Arial"/>
          <w:szCs w:val="20"/>
        </w:rPr>
      </w:pPr>
    </w:p>
    <w:p w14:paraId="0BE74513" w14:textId="77777777" w:rsidR="00431325" w:rsidRPr="000B0C64" w:rsidRDefault="00431325" w:rsidP="00431325">
      <w:pPr>
        <w:rPr>
          <w:rFonts w:cs="Arial"/>
          <w:szCs w:val="20"/>
        </w:rPr>
      </w:pPr>
    </w:p>
    <w:p w14:paraId="4251B2A8" w14:textId="77777777" w:rsidR="00431325" w:rsidRPr="000B0C64" w:rsidRDefault="00431325" w:rsidP="00431325">
      <w:pPr>
        <w:pStyle w:val="Textkrper2"/>
        <w:spacing w:after="0" w:line="240" w:lineRule="auto"/>
        <w:ind w:right="29"/>
        <w:rPr>
          <w:rFonts w:cs="Arial"/>
          <w:bCs/>
          <w:szCs w:val="20"/>
        </w:rPr>
      </w:pPr>
      <w:r w:rsidRPr="000B0C64">
        <w:rPr>
          <w:rFonts w:cs="Arial"/>
          <w:b/>
          <w:iCs/>
          <w:snapToGrid w:val="0"/>
          <w:szCs w:val="20"/>
        </w:rPr>
        <w:t>Ohledně dalších informací se prosím obraťte na:</w:t>
      </w:r>
      <w:r w:rsidRPr="000B0C64">
        <w:rPr>
          <w:rFonts w:cs="Arial"/>
          <w:b/>
          <w:iCs/>
          <w:snapToGrid w:val="0"/>
          <w:szCs w:val="20"/>
        </w:rPr>
        <w:br/>
      </w:r>
      <w:r w:rsidRPr="000B0C64">
        <w:rPr>
          <w:rFonts w:cs="Arial"/>
          <w:bCs/>
          <w:szCs w:val="20"/>
        </w:rPr>
        <w:t>Fronius Česká republika s.r.o.</w:t>
      </w:r>
    </w:p>
    <w:p w14:paraId="533FBF2E" w14:textId="77777777" w:rsidR="00431325" w:rsidRPr="000B0C64" w:rsidRDefault="00431325" w:rsidP="00431325">
      <w:pPr>
        <w:pStyle w:val="Textkrper2"/>
        <w:spacing w:after="0" w:line="240" w:lineRule="auto"/>
        <w:ind w:right="29"/>
        <w:rPr>
          <w:rFonts w:cs="Arial"/>
          <w:bCs/>
          <w:szCs w:val="20"/>
        </w:rPr>
      </w:pPr>
      <w:r w:rsidRPr="000B0C64">
        <w:rPr>
          <w:rFonts w:cs="Arial"/>
          <w:bCs/>
          <w:szCs w:val="20"/>
        </w:rPr>
        <w:t xml:space="preserve">Jana Romanova, </w:t>
      </w:r>
      <w:hyperlink r:id="rId19" w:history="1">
        <w:r w:rsidRPr="000B0C64">
          <w:rPr>
            <w:rFonts w:cs="Arial"/>
            <w:bCs/>
            <w:szCs w:val="20"/>
          </w:rPr>
          <w:t>Tel:+420</w:t>
        </w:r>
      </w:hyperlink>
      <w:r w:rsidRPr="000B0C64">
        <w:rPr>
          <w:rFonts w:cs="Arial"/>
          <w:bCs/>
          <w:szCs w:val="20"/>
        </w:rPr>
        <w:t xml:space="preserve"> 272 111 090</w:t>
      </w:r>
    </w:p>
    <w:p w14:paraId="4F9633FB" w14:textId="77777777" w:rsidR="00431325" w:rsidRPr="000B0C64" w:rsidRDefault="00431325" w:rsidP="00431325">
      <w:pPr>
        <w:pStyle w:val="Textkrper2"/>
        <w:spacing w:after="0" w:line="240" w:lineRule="auto"/>
        <w:ind w:right="29"/>
        <w:rPr>
          <w:rFonts w:cs="Arial"/>
          <w:bCs/>
          <w:szCs w:val="20"/>
        </w:rPr>
      </w:pPr>
      <w:r w:rsidRPr="000B0C64">
        <w:rPr>
          <w:rFonts w:cs="Arial"/>
          <w:bCs/>
          <w:szCs w:val="20"/>
        </w:rPr>
        <w:t>E-Mail:</w:t>
      </w:r>
      <w:hyperlink r:id="rId20" w:history="1">
        <w:r w:rsidRPr="000B0C64">
          <w:rPr>
            <w:rFonts w:cs="Arial"/>
            <w:bCs/>
            <w:szCs w:val="20"/>
          </w:rPr>
          <w:t>Romanova.Jana@fronius.com</w:t>
        </w:r>
      </w:hyperlink>
    </w:p>
    <w:p w14:paraId="50551014" w14:textId="77777777" w:rsidR="00431325" w:rsidRPr="000B0C64" w:rsidRDefault="00431325" w:rsidP="00431325">
      <w:pPr>
        <w:pStyle w:val="Textkrper2"/>
        <w:spacing w:after="0" w:line="240" w:lineRule="auto"/>
        <w:ind w:right="29"/>
        <w:rPr>
          <w:rFonts w:cs="Arial"/>
          <w:szCs w:val="20"/>
        </w:rPr>
      </w:pPr>
    </w:p>
    <w:p w14:paraId="6A56BEAF" w14:textId="77777777" w:rsidR="00431325" w:rsidRPr="000B0C64" w:rsidRDefault="00431325" w:rsidP="00431325">
      <w:pPr>
        <w:pStyle w:val="Textkrper2"/>
        <w:spacing w:after="0" w:line="240" w:lineRule="auto"/>
        <w:ind w:right="29"/>
        <w:rPr>
          <w:rFonts w:cs="Arial"/>
          <w:szCs w:val="20"/>
        </w:rPr>
      </w:pPr>
    </w:p>
    <w:p w14:paraId="1CDE1D3D" w14:textId="77777777" w:rsidR="00431325" w:rsidRPr="000B0C64" w:rsidRDefault="00431325" w:rsidP="00431325">
      <w:pPr>
        <w:pStyle w:val="Textkrper2"/>
        <w:spacing w:after="0" w:line="240" w:lineRule="auto"/>
        <w:ind w:right="29"/>
        <w:rPr>
          <w:rFonts w:cs="Arial"/>
          <w:b/>
          <w:szCs w:val="20"/>
        </w:rPr>
      </w:pPr>
      <w:r w:rsidRPr="000B0C64">
        <w:rPr>
          <w:rFonts w:cs="Arial"/>
          <w:b/>
          <w:szCs w:val="20"/>
        </w:rPr>
        <w:t>Zašlete prosím autorský výtisk naší agentuře:</w:t>
      </w:r>
    </w:p>
    <w:p w14:paraId="10146296" w14:textId="77777777" w:rsidR="00431325" w:rsidRPr="000B0C64" w:rsidRDefault="00431325" w:rsidP="00431325">
      <w:pPr>
        <w:pStyle w:val="Textkrper2"/>
        <w:spacing w:after="0" w:line="240" w:lineRule="auto"/>
        <w:ind w:right="29"/>
        <w:rPr>
          <w:rFonts w:cs="Arial"/>
          <w:szCs w:val="20"/>
        </w:rPr>
      </w:pPr>
      <w:r w:rsidRPr="000B0C64">
        <w:rPr>
          <w:rFonts w:cs="Arial"/>
          <w:szCs w:val="20"/>
        </w:rPr>
        <w:t>a1kommunikation Schweizer GmbH, Frau Kirsten Ludwig,</w:t>
      </w:r>
    </w:p>
    <w:p w14:paraId="7916DB85" w14:textId="77777777" w:rsidR="00431325" w:rsidRPr="000B0C64" w:rsidRDefault="00431325" w:rsidP="00431325">
      <w:pPr>
        <w:pStyle w:val="Textkrper2"/>
        <w:spacing w:after="0" w:line="240" w:lineRule="auto"/>
        <w:ind w:right="29"/>
        <w:rPr>
          <w:rFonts w:cs="Arial"/>
          <w:bCs/>
          <w:szCs w:val="20"/>
        </w:rPr>
      </w:pPr>
      <w:r w:rsidRPr="000B0C64">
        <w:rPr>
          <w:rFonts w:cs="Arial"/>
          <w:szCs w:val="20"/>
        </w:rPr>
        <w:t>Oberdorfstraße 31 A, D – 70794 Filderstadt,</w:t>
      </w:r>
      <w:r w:rsidRPr="000B0C64">
        <w:rPr>
          <w:rFonts w:cs="Arial"/>
          <w:szCs w:val="20"/>
        </w:rPr>
        <w:br/>
      </w:r>
      <w:r w:rsidRPr="000B0C64">
        <w:rPr>
          <w:rFonts w:cs="Arial"/>
          <w:bCs/>
          <w:szCs w:val="20"/>
        </w:rPr>
        <w:t>tel.: +49 (0)711 9454161-20,</w:t>
      </w:r>
    </w:p>
    <w:p w14:paraId="7CF08502" w14:textId="77777777" w:rsidR="00431325" w:rsidRPr="000B0C64" w:rsidRDefault="00431325" w:rsidP="00431325">
      <w:pPr>
        <w:pStyle w:val="Textkrper2"/>
        <w:spacing w:after="0" w:line="240" w:lineRule="auto"/>
        <w:ind w:right="29"/>
        <w:rPr>
          <w:rFonts w:cs="Arial"/>
          <w:szCs w:val="20"/>
        </w:rPr>
      </w:pPr>
      <w:r w:rsidRPr="000B0C64">
        <w:rPr>
          <w:rFonts w:cs="Arial"/>
          <w:bCs/>
          <w:szCs w:val="20"/>
        </w:rPr>
        <w:t xml:space="preserve">e-mail: </w:t>
      </w:r>
      <w:hyperlink r:id="rId21" w:history="1">
        <w:r w:rsidRPr="000B0C64">
          <w:rPr>
            <w:rStyle w:val="Hyperlink"/>
            <w:rFonts w:cs="Arial"/>
            <w:szCs w:val="20"/>
          </w:rPr>
          <w:t>Kirsten.Ludwig@a1kommunikation.de</w:t>
        </w:r>
      </w:hyperlink>
      <w:r w:rsidRPr="000B0C64">
        <w:rPr>
          <w:rFonts w:cs="Arial"/>
          <w:szCs w:val="20"/>
        </w:rPr>
        <w:t xml:space="preserve"> </w:t>
      </w:r>
    </w:p>
    <w:p w14:paraId="322B9C22" w14:textId="77777777" w:rsidR="00431325" w:rsidRDefault="00431325" w:rsidP="00431325">
      <w:pPr>
        <w:rPr>
          <w:rFonts w:cs="Arial"/>
          <w:szCs w:val="20"/>
        </w:rPr>
      </w:pPr>
    </w:p>
    <w:p w14:paraId="4E118850" w14:textId="77777777" w:rsidR="00431325" w:rsidRDefault="00431325" w:rsidP="00431325">
      <w:pPr>
        <w:rPr>
          <w:rFonts w:cs="Arial"/>
          <w:szCs w:val="20"/>
        </w:rPr>
      </w:pPr>
    </w:p>
    <w:p w14:paraId="227A5F0F" w14:textId="11A7353D" w:rsidR="009D3B05" w:rsidRPr="009D3B05" w:rsidRDefault="00431325" w:rsidP="00431325">
      <w:pPr>
        <w:rPr>
          <w:rFonts w:cs="Arial"/>
          <w:szCs w:val="20"/>
        </w:rPr>
      </w:pPr>
      <w:r w:rsidRPr="00C04EA5">
        <w:rPr>
          <w:rFonts w:cs="Arial"/>
          <w:szCs w:val="20"/>
        </w:rPr>
        <w:t>Další napínavé příběhy najdete na našem blogu na adrese blog.perfectwelding.fronius.com. Sledujte nás také na Facebooku (froniuswelding), Twitteru (froniusintweld), LinkedInu (perfect-welding), Instagramu (froniuswelding) a YouTube (froniuswelding)!</w:t>
      </w:r>
      <w:bookmarkStart w:id="0" w:name="_GoBack"/>
      <w:bookmarkEnd w:id="0"/>
    </w:p>
    <w:p w14:paraId="4B9D9159" w14:textId="77777777" w:rsidR="009D3B05" w:rsidRPr="00431325" w:rsidRDefault="009D3B05" w:rsidP="003F6E14">
      <w:pPr>
        <w:rPr>
          <w:rFonts w:cs="Arial"/>
          <w:szCs w:val="20"/>
        </w:rPr>
      </w:pPr>
    </w:p>
    <w:sectPr w:rsidR="009D3B05" w:rsidRPr="00431325"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3361388" w14:textId="77777777" w:rsidR="00E40234" w:rsidRDefault="00E40234" w:rsidP="00B95BF4">
      <w:r>
        <w:separator/>
      </w:r>
    </w:p>
  </w:endnote>
  <w:endnote w:type="continuationSeparator" w:id="0">
    <w:p w14:paraId="7F44CC26" w14:textId="77777777" w:rsidR="00E40234" w:rsidRDefault="00E40234"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CCBAD9" w14:textId="77777777" w:rsidR="001418FA" w:rsidRPr="00E533E1" w:rsidRDefault="00E5311A" w:rsidP="00377B4F">
    <w:pPr>
      <w:tabs>
        <w:tab w:val="right" w:pos="10080"/>
      </w:tabs>
      <w:rPr>
        <w:sz w:val="16"/>
        <w:szCs w:val="16"/>
      </w:rPr>
    </w:pPr>
    <w:r>
      <w:rPr>
        <w:sz w:val="12"/>
        <w:szCs w:val="12"/>
      </w:rPr>
      <w:t>02/2018</w:t>
    </w:r>
    <w:r>
      <w:rPr>
        <w:sz w:val="16"/>
        <w:szCs w:val="16"/>
      </w:rPr>
      <w:tab/>
    </w:r>
    <w:r w:rsidR="001418FA" w:rsidRPr="00E533E1">
      <w:rPr>
        <w:sz w:val="16"/>
        <w:szCs w:val="16"/>
      </w:rPr>
      <w:fldChar w:fldCharType="begin"/>
    </w:r>
    <w:r w:rsidR="001418FA" w:rsidRPr="00E533E1">
      <w:rPr>
        <w:sz w:val="16"/>
        <w:szCs w:val="16"/>
      </w:rPr>
      <w:instrText xml:space="preserve"> PAGE </w:instrText>
    </w:r>
    <w:r w:rsidR="001418FA" w:rsidRPr="00E533E1">
      <w:rPr>
        <w:sz w:val="16"/>
        <w:szCs w:val="16"/>
      </w:rPr>
      <w:fldChar w:fldCharType="separate"/>
    </w:r>
    <w:r w:rsidR="00431325">
      <w:rPr>
        <w:noProof/>
        <w:sz w:val="16"/>
        <w:szCs w:val="16"/>
      </w:rPr>
      <w:t>3</w:t>
    </w:r>
    <w:r w:rsidR="001418FA" w:rsidRPr="00E533E1">
      <w:rPr>
        <w:sz w:val="16"/>
        <w:szCs w:val="16"/>
      </w:rPr>
      <w:fldChar w:fldCharType="end"/>
    </w:r>
    <w:r>
      <w:rPr>
        <w:sz w:val="16"/>
        <w:szCs w:val="16"/>
      </w:rPr>
      <w:t>/</w:t>
    </w:r>
    <w:r w:rsidR="001418FA" w:rsidRPr="00E533E1">
      <w:rPr>
        <w:sz w:val="16"/>
        <w:szCs w:val="16"/>
      </w:rPr>
      <w:fldChar w:fldCharType="begin"/>
    </w:r>
    <w:r w:rsidR="001418FA" w:rsidRPr="00E533E1">
      <w:rPr>
        <w:sz w:val="16"/>
        <w:szCs w:val="16"/>
      </w:rPr>
      <w:instrText xml:space="preserve"> NUMPAGES </w:instrText>
    </w:r>
    <w:r w:rsidR="001418FA" w:rsidRPr="00E533E1">
      <w:rPr>
        <w:sz w:val="16"/>
        <w:szCs w:val="16"/>
      </w:rPr>
      <w:fldChar w:fldCharType="separate"/>
    </w:r>
    <w:r w:rsidR="00431325">
      <w:rPr>
        <w:noProof/>
        <w:sz w:val="16"/>
        <w:szCs w:val="16"/>
      </w:rPr>
      <w:t>3</w:t>
    </w:r>
    <w:r w:rsidR="001418FA"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D473A9" w14:textId="77777777" w:rsidR="00E40234" w:rsidRDefault="00E40234" w:rsidP="00B95BF4">
      <w:r>
        <w:separator/>
      </w:r>
    </w:p>
  </w:footnote>
  <w:footnote w:type="continuationSeparator" w:id="0">
    <w:p w14:paraId="5576D207" w14:textId="77777777" w:rsidR="00E40234" w:rsidRDefault="00E40234"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7960BF" w14:textId="77777777" w:rsidR="001418FA" w:rsidRDefault="006C5D8F">
    <w:r>
      <w:rPr>
        <w:noProof/>
        <w:lang w:val="de-AT" w:eastAsia="de-AT"/>
      </w:rPr>
      <w:drawing>
        <wp:anchor distT="0" distB="0" distL="114300" distR="114300" simplePos="0" relativeHeight="251657728" behindDoc="1" locked="0" layoutInCell="1" allowOverlap="1" wp14:anchorId="0D1D3FE9" wp14:editId="36298A1D">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131078" w:nlCheck="1" w:checkStyle="0"/>
  <w:activeWritingStyle w:appName="MSWord" w:lang="de-AT" w:vendorID="64" w:dllVersion="131078" w:nlCheck="1" w:checkStyle="0"/>
  <w:activeWritingStyle w:appName="MSWord" w:lang="de-DE" w:vendorID="64" w:dllVersion="131078" w:nlCheck="1" w:checkStyle="0"/>
  <w:activeWritingStyle w:appName="MSWord" w:lang="en-US" w:vendorID="64" w:dllVersion="131078"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4E14"/>
    <w:rsid w:val="00070925"/>
    <w:rsid w:val="00071283"/>
    <w:rsid w:val="00081016"/>
    <w:rsid w:val="000838A9"/>
    <w:rsid w:val="00086080"/>
    <w:rsid w:val="00086208"/>
    <w:rsid w:val="00087DA0"/>
    <w:rsid w:val="0009057D"/>
    <w:rsid w:val="00090759"/>
    <w:rsid w:val="00094CED"/>
    <w:rsid w:val="00096552"/>
    <w:rsid w:val="000A1D28"/>
    <w:rsid w:val="000A708E"/>
    <w:rsid w:val="000C13FB"/>
    <w:rsid w:val="000C3A52"/>
    <w:rsid w:val="000C3DA5"/>
    <w:rsid w:val="000C7498"/>
    <w:rsid w:val="000D3094"/>
    <w:rsid w:val="000D316F"/>
    <w:rsid w:val="000D4238"/>
    <w:rsid w:val="000E459D"/>
    <w:rsid w:val="000F1908"/>
    <w:rsid w:val="000F3585"/>
    <w:rsid w:val="000F5430"/>
    <w:rsid w:val="000F6B85"/>
    <w:rsid w:val="000F7051"/>
    <w:rsid w:val="000F79FA"/>
    <w:rsid w:val="00104498"/>
    <w:rsid w:val="00107262"/>
    <w:rsid w:val="00111FB8"/>
    <w:rsid w:val="001147ED"/>
    <w:rsid w:val="001148AA"/>
    <w:rsid w:val="00114FA9"/>
    <w:rsid w:val="0013069A"/>
    <w:rsid w:val="001310AB"/>
    <w:rsid w:val="00131EA2"/>
    <w:rsid w:val="001343DB"/>
    <w:rsid w:val="00134FCE"/>
    <w:rsid w:val="001418FA"/>
    <w:rsid w:val="00142BA2"/>
    <w:rsid w:val="001435E3"/>
    <w:rsid w:val="001530A1"/>
    <w:rsid w:val="00153C92"/>
    <w:rsid w:val="00155F5A"/>
    <w:rsid w:val="00156594"/>
    <w:rsid w:val="001617FB"/>
    <w:rsid w:val="00163C85"/>
    <w:rsid w:val="00166509"/>
    <w:rsid w:val="0017721C"/>
    <w:rsid w:val="001876C7"/>
    <w:rsid w:val="00192BA6"/>
    <w:rsid w:val="001A000F"/>
    <w:rsid w:val="001A60FA"/>
    <w:rsid w:val="001B07BA"/>
    <w:rsid w:val="001B31BA"/>
    <w:rsid w:val="001C0A99"/>
    <w:rsid w:val="001C1C9C"/>
    <w:rsid w:val="001C5BCA"/>
    <w:rsid w:val="001C69BE"/>
    <w:rsid w:val="001C796E"/>
    <w:rsid w:val="001D3408"/>
    <w:rsid w:val="001D7DFC"/>
    <w:rsid w:val="001D7F55"/>
    <w:rsid w:val="001E463E"/>
    <w:rsid w:val="001F0A6A"/>
    <w:rsid w:val="001F0CC2"/>
    <w:rsid w:val="001F20B5"/>
    <w:rsid w:val="001F2E3B"/>
    <w:rsid w:val="001F427C"/>
    <w:rsid w:val="001F447D"/>
    <w:rsid w:val="00201204"/>
    <w:rsid w:val="0020310E"/>
    <w:rsid w:val="002102E7"/>
    <w:rsid w:val="00217B32"/>
    <w:rsid w:val="00221602"/>
    <w:rsid w:val="002219CE"/>
    <w:rsid w:val="00227F9C"/>
    <w:rsid w:val="00230C60"/>
    <w:rsid w:val="00232846"/>
    <w:rsid w:val="002357F0"/>
    <w:rsid w:val="00241673"/>
    <w:rsid w:val="00244A05"/>
    <w:rsid w:val="002471BF"/>
    <w:rsid w:val="002509CB"/>
    <w:rsid w:val="00251D20"/>
    <w:rsid w:val="00252702"/>
    <w:rsid w:val="00256BC9"/>
    <w:rsid w:val="00262FAC"/>
    <w:rsid w:val="00271AE5"/>
    <w:rsid w:val="00275090"/>
    <w:rsid w:val="00280735"/>
    <w:rsid w:val="002820F2"/>
    <w:rsid w:val="00283096"/>
    <w:rsid w:val="00283F56"/>
    <w:rsid w:val="002937C4"/>
    <w:rsid w:val="002A1356"/>
    <w:rsid w:val="002A1C1A"/>
    <w:rsid w:val="002A21B3"/>
    <w:rsid w:val="002A2E7F"/>
    <w:rsid w:val="002A639C"/>
    <w:rsid w:val="002A7D11"/>
    <w:rsid w:val="002B00C8"/>
    <w:rsid w:val="002B21C3"/>
    <w:rsid w:val="002B2873"/>
    <w:rsid w:val="002C5176"/>
    <w:rsid w:val="002C6D84"/>
    <w:rsid w:val="002D42FD"/>
    <w:rsid w:val="002D685F"/>
    <w:rsid w:val="002E021F"/>
    <w:rsid w:val="002E18FC"/>
    <w:rsid w:val="002E6B82"/>
    <w:rsid w:val="002E7110"/>
    <w:rsid w:val="002E7136"/>
    <w:rsid w:val="002E7461"/>
    <w:rsid w:val="002F35E2"/>
    <w:rsid w:val="002F4D51"/>
    <w:rsid w:val="002F6645"/>
    <w:rsid w:val="002F7894"/>
    <w:rsid w:val="00305F75"/>
    <w:rsid w:val="00306869"/>
    <w:rsid w:val="00307DAC"/>
    <w:rsid w:val="0031548A"/>
    <w:rsid w:val="00315D72"/>
    <w:rsid w:val="00316BD6"/>
    <w:rsid w:val="00327E0E"/>
    <w:rsid w:val="00332262"/>
    <w:rsid w:val="00334AB3"/>
    <w:rsid w:val="00343A86"/>
    <w:rsid w:val="003446A8"/>
    <w:rsid w:val="003505E3"/>
    <w:rsid w:val="00353098"/>
    <w:rsid w:val="00355F53"/>
    <w:rsid w:val="00355F8C"/>
    <w:rsid w:val="003611C7"/>
    <w:rsid w:val="00362007"/>
    <w:rsid w:val="003635BF"/>
    <w:rsid w:val="00364594"/>
    <w:rsid w:val="00371551"/>
    <w:rsid w:val="003723E9"/>
    <w:rsid w:val="00374051"/>
    <w:rsid w:val="00377B4F"/>
    <w:rsid w:val="00391733"/>
    <w:rsid w:val="00397D0F"/>
    <w:rsid w:val="003A101F"/>
    <w:rsid w:val="003A5177"/>
    <w:rsid w:val="003A63D8"/>
    <w:rsid w:val="003A6EB3"/>
    <w:rsid w:val="003B5C20"/>
    <w:rsid w:val="003B7A33"/>
    <w:rsid w:val="003C36AC"/>
    <w:rsid w:val="003D0102"/>
    <w:rsid w:val="003D4771"/>
    <w:rsid w:val="003D573B"/>
    <w:rsid w:val="003E277C"/>
    <w:rsid w:val="003E3D91"/>
    <w:rsid w:val="003E6E14"/>
    <w:rsid w:val="003E7A99"/>
    <w:rsid w:val="003F3A37"/>
    <w:rsid w:val="003F4F68"/>
    <w:rsid w:val="003F6E14"/>
    <w:rsid w:val="00401432"/>
    <w:rsid w:val="00401A33"/>
    <w:rsid w:val="004021B0"/>
    <w:rsid w:val="0040631C"/>
    <w:rsid w:val="0040782D"/>
    <w:rsid w:val="00411053"/>
    <w:rsid w:val="004111DE"/>
    <w:rsid w:val="0041302B"/>
    <w:rsid w:val="004217B2"/>
    <w:rsid w:val="00431325"/>
    <w:rsid w:val="0043224D"/>
    <w:rsid w:val="00434D2C"/>
    <w:rsid w:val="00437A3C"/>
    <w:rsid w:val="00440FEC"/>
    <w:rsid w:val="00444419"/>
    <w:rsid w:val="004464CE"/>
    <w:rsid w:val="00446719"/>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460"/>
    <w:rsid w:val="004B5730"/>
    <w:rsid w:val="004C119D"/>
    <w:rsid w:val="004C3AFC"/>
    <w:rsid w:val="004C6F64"/>
    <w:rsid w:val="004D096B"/>
    <w:rsid w:val="004D0BF0"/>
    <w:rsid w:val="004D6BCE"/>
    <w:rsid w:val="004F08C4"/>
    <w:rsid w:val="004F2481"/>
    <w:rsid w:val="004F2F46"/>
    <w:rsid w:val="0050081C"/>
    <w:rsid w:val="005017D2"/>
    <w:rsid w:val="0050275D"/>
    <w:rsid w:val="005031ED"/>
    <w:rsid w:val="0050529E"/>
    <w:rsid w:val="00505D71"/>
    <w:rsid w:val="00512ECD"/>
    <w:rsid w:val="00514EB5"/>
    <w:rsid w:val="0052184E"/>
    <w:rsid w:val="00523F83"/>
    <w:rsid w:val="00526889"/>
    <w:rsid w:val="00530445"/>
    <w:rsid w:val="005358D2"/>
    <w:rsid w:val="005436F3"/>
    <w:rsid w:val="00543F1A"/>
    <w:rsid w:val="005454CE"/>
    <w:rsid w:val="00546D7A"/>
    <w:rsid w:val="00561C79"/>
    <w:rsid w:val="00572790"/>
    <w:rsid w:val="00573CE9"/>
    <w:rsid w:val="00580D7F"/>
    <w:rsid w:val="00581D30"/>
    <w:rsid w:val="00582A0C"/>
    <w:rsid w:val="00584F0C"/>
    <w:rsid w:val="00585291"/>
    <w:rsid w:val="00586FBE"/>
    <w:rsid w:val="00591296"/>
    <w:rsid w:val="00592295"/>
    <w:rsid w:val="00597AD5"/>
    <w:rsid w:val="005A4F3D"/>
    <w:rsid w:val="005B0718"/>
    <w:rsid w:val="005B1EA0"/>
    <w:rsid w:val="005B4657"/>
    <w:rsid w:val="005B6C47"/>
    <w:rsid w:val="005B7715"/>
    <w:rsid w:val="005C1F23"/>
    <w:rsid w:val="005C2630"/>
    <w:rsid w:val="005D4461"/>
    <w:rsid w:val="005D4E30"/>
    <w:rsid w:val="005D71F9"/>
    <w:rsid w:val="005D763E"/>
    <w:rsid w:val="005E3370"/>
    <w:rsid w:val="005F06F0"/>
    <w:rsid w:val="005F13D7"/>
    <w:rsid w:val="005F3A52"/>
    <w:rsid w:val="005F4B4F"/>
    <w:rsid w:val="005F50A4"/>
    <w:rsid w:val="006000A7"/>
    <w:rsid w:val="00602052"/>
    <w:rsid w:val="006021F3"/>
    <w:rsid w:val="006028B0"/>
    <w:rsid w:val="006054EA"/>
    <w:rsid w:val="006055D5"/>
    <w:rsid w:val="00605FA6"/>
    <w:rsid w:val="00613F12"/>
    <w:rsid w:val="00614684"/>
    <w:rsid w:val="00616271"/>
    <w:rsid w:val="006179C0"/>
    <w:rsid w:val="006202DC"/>
    <w:rsid w:val="00630C93"/>
    <w:rsid w:val="006321C6"/>
    <w:rsid w:val="00634414"/>
    <w:rsid w:val="00634499"/>
    <w:rsid w:val="0063630C"/>
    <w:rsid w:val="006449F8"/>
    <w:rsid w:val="00645064"/>
    <w:rsid w:val="00645E4A"/>
    <w:rsid w:val="006551B5"/>
    <w:rsid w:val="00661125"/>
    <w:rsid w:val="00661C95"/>
    <w:rsid w:val="00667BE7"/>
    <w:rsid w:val="0067612E"/>
    <w:rsid w:val="0067652B"/>
    <w:rsid w:val="0068168E"/>
    <w:rsid w:val="006820E2"/>
    <w:rsid w:val="00682A69"/>
    <w:rsid w:val="00683548"/>
    <w:rsid w:val="006856C7"/>
    <w:rsid w:val="0068704F"/>
    <w:rsid w:val="006920C3"/>
    <w:rsid w:val="00693D85"/>
    <w:rsid w:val="006A0BBF"/>
    <w:rsid w:val="006A0C98"/>
    <w:rsid w:val="006A148D"/>
    <w:rsid w:val="006A64A3"/>
    <w:rsid w:val="006B0607"/>
    <w:rsid w:val="006B154F"/>
    <w:rsid w:val="006B1A76"/>
    <w:rsid w:val="006B2007"/>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46AD"/>
    <w:rsid w:val="007054E2"/>
    <w:rsid w:val="007070DC"/>
    <w:rsid w:val="00724449"/>
    <w:rsid w:val="0073594D"/>
    <w:rsid w:val="00742B19"/>
    <w:rsid w:val="0074604A"/>
    <w:rsid w:val="0075110B"/>
    <w:rsid w:val="00752D0D"/>
    <w:rsid w:val="00753B1F"/>
    <w:rsid w:val="0075596F"/>
    <w:rsid w:val="00765AF4"/>
    <w:rsid w:val="00781113"/>
    <w:rsid w:val="00783D9E"/>
    <w:rsid w:val="00784186"/>
    <w:rsid w:val="0078545D"/>
    <w:rsid w:val="007857B6"/>
    <w:rsid w:val="007868C7"/>
    <w:rsid w:val="00786A2E"/>
    <w:rsid w:val="007876DB"/>
    <w:rsid w:val="00790419"/>
    <w:rsid w:val="0079157F"/>
    <w:rsid w:val="00792F0D"/>
    <w:rsid w:val="00794557"/>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800DAD"/>
    <w:rsid w:val="00810B30"/>
    <w:rsid w:val="00814D6D"/>
    <w:rsid w:val="008229D5"/>
    <w:rsid w:val="00823209"/>
    <w:rsid w:val="00831368"/>
    <w:rsid w:val="00847093"/>
    <w:rsid w:val="00847AE5"/>
    <w:rsid w:val="00851C40"/>
    <w:rsid w:val="008527B9"/>
    <w:rsid w:val="008548DC"/>
    <w:rsid w:val="00854CEA"/>
    <w:rsid w:val="0085519E"/>
    <w:rsid w:val="00855311"/>
    <w:rsid w:val="0085700F"/>
    <w:rsid w:val="00857BEC"/>
    <w:rsid w:val="008616CE"/>
    <w:rsid w:val="00864333"/>
    <w:rsid w:val="00864455"/>
    <w:rsid w:val="00864876"/>
    <w:rsid w:val="00866314"/>
    <w:rsid w:val="00867A57"/>
    <w:rsid w:val="00867D31"/>
    <w:rsid w:val="0087082E"/>
    <w:rsid w:val="0087310D"/>
    <w:rsid w:val="008758D5"/>
    <w:rsid w:val="0088714F"/>
    <w:rsid w:val="00887552"/>
    <w:rsid w:val="0089154A"/>
    <w:rsid w:val="00893021"/>
    <w:rsid w:val="008967EF"/>
    <w:rsid w:val="00896E4F"/>
    <w:rsid w:val="008A2AB3"/>
    <w:rsid w:val="008A31FD"/>
    <w:rsid w:val="008A4DA1"/>
    <w:rsid w:val="008B2945"/>
    <w:rsid w:val="008B523F"/>
    <w:rsid w:val="008B597B"/>
    <w:rsid w:val="008C15B9"/>
    <w:rsid w:val="008C2FB6"/>
    <w:rsid w:val="008C56E6"/>
    <w:rsid w:val="008D0873"/>
    <w:rsid w:val="008D4A91"/>
    <w:rsid w:val="008D5701"/>
    <w:rsid w:val="008D6CF2"/>
    <w:rsid w:val="008D72A4"/>
    <w:rsid w:val="008E04ED"/>
    <w:rsid w:val="008E2E3F"/>
    <w:rsid w:val="008E3435"/>
    <w:rsid w:val="008E6B74"/>
    <w:rsid w:val="008E6CC7"/>
    <w:rsid w:val="008E7EBC"/>
    <w:rsid w:val="008E7F7E"/>
    <w:rsid w:val="008F345C"/>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6FAE"/>
    <w:rsid w:val="0094770B"/>
    <w:rsid w:val="0095114F"/>
    <w:rsid w:val="0095249F"/>
    <w:rsid w:val="00953EF9"/>
    <w:rsid w:val="00954976"/>
    <w:rsid w:val="00954F03"/>
    <w:rsid w:val="00956D40"/>
    <w:rsid w:val="00957486"/>
    <w:rsid w:val="00961EE8"/>
    <w:rsid w:val="00974DFB"/>
    <w:rsid w:val="00977F64"/>
    <w:rsid w:val="00982602"/>
    <w:rsid w:val="0098454E"/>
    <w:rsid w:val="00987201"/>
    <w:rsid w:val="0099282C"/>
    <w:rsid w:val="009A0F98"/>
    <w:rsid w:val="009A2721"/>
    <w:rsid w:val="009A385C"/>
    <w:rsid w:val="009A659A"/>
    <w:rsid w:val="009B0C49"/>
    <w:rsid w:val="009B6017"/>
    <w:rsid w:val="009B7DB3"/>
    <w:rsid w:val="009C2A23"/>
    <w:rsid w:val="009C6595"/>
    <w:rsid w:val="009D1C43"/>
    <w:rsid w:val="009D3020"/>
    <w:rsid w:val="009D3B05"/>
    <w:rsid w:val="009D546A"/>
    <w:rsid w:val="009E595B"/>
    <w:rsid w:val="009E7629"/>
    <w:rsid w:val="009F052C"/>
    <w:rsid w:val="009F0857"/>
    <w:rsid w:val="009F588B"/>
    <w:rsid w:val="00A02819"/>
    <w:rsid w:val="00A033DC"/>
    <w:rsid w:val="00A10C62"/>
    <w:rsid w:val="00A12189"/>
    <w:rsid w:val="00A127AC"/>
    <w:rsid w:val="00A13E13"/>
    <w:rsid w:val="00A13E46"/>
    <w:rsid w:val="00A177A4"/>
    <w:rsid w:val="00A206DD"/>
    <w:rsid w:val="00A21C2F"/>
    <w:rsid w:val="00A22836"/>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4948"/>
    <w:rsid w:val="00A65340"/>
    <w:rsid w:val="00A665F1"/>
    <w:rsid w:val="00A67347"/>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AF123F"/>
    <w:rsid w:val="00AF4641"/>
    <w:rsid w:val="00AF635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353"/>
    <w:rsid w:val="00B775D3"/>
    <w:rsid w:val="00B8748D"/>
    <w:rsid w:val="00B903D3"/>
    <w:rsid w:val="00B95BF4"/>
    <w:rsid w:val="00BA5FCE"/>
    <w:rsid w:val="00BA6039"/>
    <w:rsid w:val="00BA66C1"/>
    <w:rsid w:val="00BA67A4"/>
    <w:rsid w:val="00BB0CEC"/>
    <w:rsid w:val="00BB20D2"/>
    <w:rsid w:val="00BB497B"/>
    <w:rsid w:val="00BB4BD4"/>
    <w:rsid w:val="00BB4E54"/>
    <w:rsid w:val="00BB78D3"/>
    <w:rsid w:val="00BC0C1A"/>
    <w:rsid w:val="00BC1981"/>
    <w:rsid w:val="00BC3DE2"/>
    <w:rsid w:val="00BC4A58"/>
    <w:rsid w:val="00BC4E79"/>
    <w:rsid w:val="00BC510C"/>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697C"/>
    <w:rsid w:val="00C3770B"/>
    <w:rsid w:val="00C407C2"/>
    <w:rsid w:val="00C419E7"/>
    <w:rsid w:val="00C45A1C"/>
    <w:rsid w:val="00C532CE"/>
    <w:rsid w:val="00C53909"/>
    <w:rsid w:val="00C53BD1"/>
    <w:rsid w:val="00C55993"/>
    <w:rsid w:val="00C57436"/>
    <w:rsid w:val="00C62674"/>
    <w:rsid w:val="00C637B5"/>
    <w:rsid w:val="00C63C38"/>
    <w:rsid w:val="00C64647"/>
    <w:rsid w:val="00C6508F"/>
    <w:rsid w:val="00C65E61"/>
    <w:rsid w:val="00C706E3"/>
    <w:rsid w:val="00C81A69"/>
    <w:rsid w:val="00C8306E"/>
    <w:rsid w:val="00C85552"/>
    <w:rsid w:val="00C90D12"/>
    <w:rsid w:val="00C92968"/>
    <w:rsid w:val="00C95B40"/>
    <w:rsid w:val="00C960EB"/>
    <w:rsid w:val="00C9757D"/>
    <w:rsid w:val="00CA3FA6"/>
    <w:rsid w:val="00CA7A2E"/>
    <w:rsid w:val="00CB251A"/>
    <w:rsid w:val="00CC1A0F"/>
    <w:rsid w:val="00CC367E"/>
    <w:rsid w:val="00CC3B16"/>
    <w:rsid w:val="00CD14B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58E5"/>
    <w:rsid w:val="00D37056"/>
    <w:rsid w:val="00D40700"/>
    <w:rsid w:val="00D44972"/>
    <w:rsid w:val="00D46504"/>
    <w:rsid w:val="00D47D8D"/>
    <w:rsid w:val="00D533E9"/>
    <w:rsid w:val="00D541DB"/>
    <w:rsid w:val="00D55915"/>
    <w:rsid w:val="00D60FF1"/>
    <w:rsid w:val="00D6121D"/>
    <w:rsid w:val="00D6161E"/>
    <w:rsid w:val="00D66911"/>
    <w:rsid w:val="00D67A69"/>
    <w:rsid w:val="00D71774"/>
    <w:rsid w:val="00D72B0E"/>
    <w:rsid w:val="00D72E53"/>
    <w:rsid w:val="00D73B2F"/>
    <w:rsid w:val="00D73F90"/>
    <w:rsid w:val="00D8281E"/>
    <w:rsid w:val="00D82837"/>
    <w:rsid w:val="00D82D37"/>
    <w:rsid w:val="00D8729C"/>
    <w:rsid w:val="00D9700C"/>
    <w:rsid w:val="00DA47C2"/>
    <w:rsid w:val="00DA654E"/>
    <w:rsid w:val="00DB70A4"/>
    <w:rsid w:val="00DB7613"/>
    <w:rsid w:val="00DC3457"/>
    <w:rsid w:val="00DC4AE7"/>
    <w:rsid w:val="00DC72A3"/>
    <w:rsid w:val="00DD1940"/>
    <w:rsid w:val="00DD3488"/>
    <w:rsid w:val="00DD3CF2"/>
    <w:rsid w:val="00DE0B25"/>
    <w:rsid w:val="00DE116D"/>
    <w:rsid w:val="00DE2C6B"/>
    <w:rsid w:val="00DF102A"/>
    <w:rsid w:val="00DF12B6"/>
    <w:rsid w:val="00DF5B43"/>
    <w:rsid w:val="00DF5CF7"/>
    <w:rsid w:val="00E01A2F"/>
    <w:rsid w:val="00E02EEA"/>
    <w:rsid w:val="00E03620"/>
    <w:rsid w:val="00E04F19"/>
    <w:rsid w:val="00E06BD4"/>
    <w:rsid w:val="00E20A77"/>
    <w:rsid w:val="00E24368"/>
    <w:rsid w:val="00E25AFA"/>
    <w:rsid w:val="00E2736B"/>
    <w:rsid w:val="00E27CFF"/>
    <w:rsid w:val="00E354C0"/>
    <w:rsid w:val="00E35A6B"/>
    <w:rsid w:val="00E40234"/>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014E"/>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1A13"/>
    <w:rsid w:val="00EB3117"/>
    <w:rsid w:val="00EB68AA"/>
    <w:rsid w:val="00EC0EC2"/>
    <w:rsid w:val="00EC3896"/>
    <w:rsid w:val="00EC5C9B"/>
    <w:rsid w:val="00EC69CF"/>
    <w:rsid w:val="00ED0BF7"/>
    <w:rsid w:val="00ED1039"/>
    <w:rsid w:val="00ED4FC0"/>
    <w:rsid w:val="00ED52BC"/>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681"/>
    <w:rsid w:val="00F13FB4"/>
    <w:rsid w:val="00F202C1"/>
    <w:rsid w:val="00F22951"/>
    <w:rsid w:val="00F26FBE"/>
    <w:rsid w:val="00F360FB"/>
    <w:rsid w:val="00F36386"/>
    <w:rsid w:val="00F40365"/>
    <w:rsid w:val="00F42A07"/>
    <w:rsid w:val="00F43392"/>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3AF3"/>
    <w:rsid w:val="00FC5C29"/>
    <w:rsid w:val="00FD0D41"/>
    <w:rsid w:val="00FD1C8A"/>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22E17418"/>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cs-CZ"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cs-CZ"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cs-CZ"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cs-CZ"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cs-CZ"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http://www.fronius.com/en/welding-technology/infocentre/press" TargetMode="External"/><Relationship Id="rId3" Type="http://schemas.openxmlformats.org/officeDocument/2006/relationships/customXml" Target="../customXml/item3.xml"/><Relationship Id="rId21" Type="http://schemas.openxmlformats.org/officeDocument/2006/relationships/hyperlink" Target="mailto:Kirsten.Ludwig@a1kommunikation.de" TargetMode="Externa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yperlink" Target="mailto:Romanova.Jana@fronius.com"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customXml" Target="../customXml/item6.xm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Tel:+420"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title_TI_PT xmlns="dc0c2c3d-e9fc-4a0d-820b-87ab82e65f20">TPS/i TWIN Push</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TPS/i TWIN Push</title_TI_DA>
    <Web_x0020_Display_x0020_Title_x0020_ET xmlns="dc0c2c3d-e9fc-4a0d-820b-87ab82e65f20">TPS/i TWIN Push</Web_x0020_Display_x0020_Title_x0020_ET>
    <title_ti_fi xmlns="dc0c2c3d-e9fc-4a0d-820b-87ab82e65f20">TPS/i TWIN Push</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#CS</TermName>
          <TermId xmlns="http://schemas.microsoft.com/office/infopath/2007/PartnerControls">05a665d3-326a-4de0-af4a-24a782e32e1b</TermId>
        </TermInfo>
      </Terms>
    </k62430406562456c9289cb18a9752f33>
    <title_TI_TR xmlns="dc0c2c3d-e9fc-4a0d-820b-87ab82e65f20">TPS/i TWIN Push</title_TI_TR>
    <countryok xmlns="dc0c2c3d-e9fc-4a0d-820b-87ab82e65f20">true</countryok>
    <Documenttype_ES xmlns="dc0c2c3d-e9fc-4a0d-820b-87ab82e65f20">Información de prensa</Documenttype_ES>
    <title_ti_nb xmlns="dc0c2c3d-e9fc-4a0d-820b-87ab82e65f20">TPS/i TWIN Push</title_ti_nb>
    <title_TI_ES xmlns="dc0c2c3d-e9fc-4a0d-820b-87ab82e65f20">TPS/i TWIN Push</title_TI_ES>
    <Documenttype_TR xmlns="dc0c2c3d-e9fc-4a0d-820b-87ab82e65f20">Basın bülteni</Documenttype_TR>
    <VersionInternal xmlns="dc0c2c3d-e9fc-4a0d-820b-87ab82e65f20">0</VersionInternal>
    <TaxCatchAll xmlns="92f60987-cbcc-4245-baaf-239af3bfd6e8">
      <Value>260</Value>
    </TaxCatchAll>
    <Resolution xmlns="dc0c2c3d-e9fc-4a0d-820b-87ab82e65f20" xsi:nil="true"/>
    <Country xmlns="dc0c2c3d-e9fc-4a0d-820b-87ab82e65f20">
      <Value>13</Value>
    </Country>
    <title_TI_DE xmlns="dc0c2c3d-e9fc-4a0d-820b-87ab82e65f20">TPS/i TWIN Push</title_TI_DE>
    <title_TI_HU xmlns="dc0c2c3d-e9fc-4a0d-820b-87ab82e65f20">TPS/i TWIN Push</title_TI_HU>
    <AGB xmlns="dc0c2c3d-e9fc-4a0d-820b-87ab82e65f20">false</AGB>
    <MRMKeyWords xmlns="dc0c2c3d-e9fc-4a0d-820b-87ab82e65f20">#TPS/i#Hochleistungs-Schweißen#Twin#Tandemprozess#TPS/i TWIN Push#high performance welding#Tandem process#tps i#hochleistungs-schweißen#twin#tps/i#highperformancewelding#tandemprozess#tps/itwinpush#</MRMKeyWords>
    <Documenttype_TH xmlns="dc0c2c3d-e9fc-4a0d-820b-87ab82e65f20">ข่าวประชาสัมพันธ์</Documenttype_TH>
    <Documenttype_NL xmlns="dc0c2c3d-e9fc-4a0d-820b-87ab82e65f20">Persbericht</Documenttype_NL>
    <fro_spid xmlns="dc0c2c3d-e9fc-4a0d-820b-87ab82e65f20">9579;SE</fro_spid>
    <Colour_x0020_space xmlns="dc0c2c3d-e9fc-4a0d-820b-87ab82e65f20" xsi:nil="true"/>
    <title_TI_EA xmlns="dc0c2c3d-e9fc-4a0d-820b-87ab82e65f20">TPS/i TWIN Push</title_TI_EA>
    <Fecha xmlns="53041210-5658-4a0d-8a74-f9413e00f15b" xsi:nil="true"/>
    <Documenttype_NO xmlns="dc0c2c3d-e9fc-4a0d-820b-87ab82e65f20">Presseinformasjon</Documenttype_NO>
    <Documenttype_SK xmlns="dc0c2c3d-e9fc-4a0d-820b-87ab82e65f20">Tlačová informácia</Documenttype_SK>
    <title_TI_CN xmlns="dc0c2c3d-e9fc-4a0d-820b-87ab82e65f20" xsi:nil="true"/>
    <contentservId xmlns="53041210-5658-4a0d-8a74-f9413e00f15b">C-100391</contentservId>
    <title_TI_RO xmlns="dc0c2c3d-e9fc-4a0d-820b-87ab82e65f20">TPS/i TWIN Push</title_TI_RO>
    <title_TI_SK xmlns="dc0c2c3d-e9fc-4a0d-820b-87ab82e65f20">TPS/i TWIN Push</title_TI_SK>
    <Update xmlns="dc0c2c3d-e9fc-4a0d-820b-87ab82e65f20">150620</Update>
    <Documenttype_AR xmlns="dc0c2c3d-e9fc-4a0d-820b-87ab82e65f20">Press Release</Documenttype_AR>
    <title_TI_IT xmlns="dc0c2c3d-e9fc-4a0d-820b-87ab82e65f20">TPS/i TWIN Push</title_TI_IT>
    <title_ti_zh xmlns="dc0c2c3d-e9fc-4a0d-820b-87ab82e65f20">TPS/i TWIN Push</title_ti_zh>
    <Division xmlns="dc0c2c3d-e9fc-4a0d-820b-87ab82e65f20">Perfect Welding</Division>
    <title_TI_UA xmlns="dc0c2c3d-e9fc-4a0d-820b-87ab82e65f20">TPS/i TWIN Push</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false</FSM>
    <title_TI_FR xmlns="dc0c2c3d-e9fc-4a0d-820b-87ab82e65f20">TPS/i TWIN Push</title_TI_FR>
    <MRMID xmlns="dc0c2c3d-e9fc-4a0d-820b-87ab82e65f20">M-128491</MRMID>
    <Documenttype_UK xmlns="dc0c2c3d-e9fc-4a0d-820b-87ab82e65f20">Прес-релізи</Documenttype_UK>
    <title_TI_CS xmlns="dc0c2c3d-e9fc-4a0d-820b-87ab82e65f20">TPS/i TWIN Push</title_TI_CS>
    <Documenttype_FR xmlns="dc0c2c3d-e9fc-4a0d-820b-87ab82e65f20">Communiqué de presse</Documenttype_FR>
    <Documenttype_EN xmlns="dc0c2c3d-e9fc-4a0d-820b-87ab82e65f20">Press Release</Documenttype_EN>
    <FileMaster xmlns="dc0c2c3d-e9fc-4a0d-820b-87ab82e65f20">C-100392</FileMaster>
    <icfaae38c4274413b390559439863f3e xmlns="dc0c2c3d-e9fc-4a0d-820b-87ab82e65f20">
      <Terms xmlns="http://schemas.microsoft.com/office/infopath/2007/PartnerControls"/>
    </icfaae38c4274413b390559439863f3e>
    <title_TI_NL xmlns="dc0c2c3d-e9fc-4a0d-820b-87ab82e65f20">TPS/i TWIN Push</title_TI_NL>
    <title_TI_PL xmlns="dc0c2c3d-e9fc-4a0d-820b-87ab82e65f20">TPS/i TWIN Push</title_TI_PL>
    <title_TI_TH xmlns="dc0c2c3d-e9fc-4a0d-820b-87ab82e65f20">TPS/i TWIN Push</title_TI_TH>
    <Documenttype_DA xmlns="dc0c2c3d-e9fc-4a0d-820b-87ab82e65f20">Presseinformationer</Documenttype_DA>
    <Documenttype_HU xmlns="dc0c2c3d-e9fc-4a0d-820b-87ab82e65f20">Sajtóinformáció</Documenttype_HU>
    <title_TI_JP xmlns="dc0c2c3d-e9fc-4a0d-820b-87ab82e65f20">TPS/i TWIN Push</title_TI_JP>
    <title_TI_RU xmlns="dc0c2c3d-e9fc-4a0d-820b-87ab82e65f20">TPS/i TWIN Push</title_TI_RU>
    <Documenttype_PL xmlns="dc0c2c3d-e9fc-4a0d-820b-87ab82e65f20">Informacja prasowe</Documenttype_PL>
    <Licence_x0020_information xmlns="dc0c2c3d-e9fc-4a0d-820b-87ab82e65f20">(c) Fronius International</Licence_x0020_information>
    <title_TI_NO xmlns="dc0c2c3d-e9fc-4a0d-820b-87ab82e65f20">TPS/i TWIN Push</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TPS/i TWIN Push</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TPS/i TWIN Push</title_TI_JA>
    <Documenttype_IT xmlns="dc0c2c3d-e9fc-4a0d-820b-87ab82e65f20">Comunicato stampa</Documenttype_IT>
    <Country_x0020_Quick_x0020_Select xmlns="dc0c2c3d-e9fc-4a0d-820b-87ab82e65f20">Select...</Country_x0020_Quick_x0020_Select>
    <title_TI_EN xmlns="dc0c2c3d-e9fc-4a0d-820b-87ab82e65f20">TPS/i TWIN Push</title_TI_EN>
    <title_TI_AR xmlns="dc0c2c3d-e9fc-4a0d-820b-87ab82e65f20">TPS/i TWIN Push</title_TI_AR>
    <title_TI_SV xmlns="dc0c2c3d-e9fc-4a0d-820b-87ab82e65f20">TPS/i TWIN Push</title_TI_SV>
    <Documenttype_CS xmlns="dc0c2c3d-e9fc-4a0d-820b-87ab82e65f20">Tisková zpráva</Documenttype_CS>
    <TitelInternal xmlns="dc0c2c3d-e9fc-4a0d-820b-87ab82e65f20">PW_PR_TPSi_TWIN_CS</TitelInternal>
    <title_ti_uk xmlns="dc0c2c3d-e9fc-4a0d-820b-87ab82e65f20">TPS/i TWIN Push</title_ti_uk>
    <Description0 xmlns="53041210-5658-4a0d-8a74-f9413e00f15b" xsi:nil="true"/>
    <FroCountryExclusive xmlns="dc0c2c3d-e9fc-4a0d-820b-87ab82e65f20">No</FroCountryExclusive>
    <_dlc_DocId xmlns="92f60987-cbcc-4245-baaf-239af3bfd6e8">3457UUQQYVA2-1576582820-9579</_dlc_DocId>
    <_dlc_DocIdUrl xmlns="92f60987-cbcc-4245-baaf-239af3bfd6e8">
      <Url>https://downloads.fronius.com/_layouts/15/DocIdRedir.aspx?ID=3457UUQQYVA2-1576582820-9579</Url>
      <Description>3457UUQQYVA2-1576582820-9579</Description>
    </_dlc_DocIdUrl>
  </documentManagement>
</p:properties>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mso-contentType ?>
<spe:Receivers xmlns:spe="http://schemas.microsoft.com/sharepoint/events"/>
</file>

<file path=customXml/itemProps1.xml><?xml version="1.0" encoding="utf-8"?>
<ds:datastoreItem xmlns:ds="http://schemas.openxmlformats.org/officeDocument/2006/customXml" ds:itemID="{217FCCAA-73EC-4783-BF30-81A113295114}">
  <ds:schemaRefs>
    <ds:schemaRef ds:uri="http://schemas.microsoft.com/office/2006/metadata/properties"/>
    <ds:schemaRef ds:uri="http://schemas.microsoft.com/office/infopath/2007/PartnerControls"/>
    <ds:schemaRef ds:uri="09f5b0be-d4a0-434e-b63f-a971eba1ef82"/>
  </ds:schemaRefs>
</ds:datastoreItem>
</file>

<file path=customXml/itemProps2.xml><?xml version="1.0" encoding="utf-8"?>
<ds:datastoreItem xmlns:ds="http://schemas.openxmlformats.org/officeDocument/2006/customXml" ds:itemID="{2535C5AC-4FCE-4C94-B1B2-D6B6E45A9F71}">
  <ds:schemaRefs>
    <ds:schemaRef ds:uri="Microsoft.SharePoint.Taxonomy.ContentTypeSync"/>
  </ds:schemaRefs>
</ds:datastoreItem>
</file>

<file path=customXml/itemProps3.xml><?xml version="1.0" encoding="utf-8"?>
<ds:datastoreItem xmlns:ds="http://schemas.openxmlformats.org/officeDocument/2006/customXml" ds:itemID="{7153C111-D964-4160-8103-0C83E32B66E7}">
  <ds:schemaRefs>
    <ds:schemaRef ds:uri="http://schemas.microsoft.com/sharepoint/v3/contenttype/forms"/>
  </ds:schemaRefs>
</ds:datastoreItem>
</file>

<file path=customXml/itemProps4.xml><?xml version="1.0" encoding="utf-8"?>
<ds:datastoreItem xmlns:ds="http://schemas.openxmlformats.org/officeDocument/2006/customXml" ds:itemID="{E7A631CF-1F57-4891-B507-4A4A65A30BB7}"/>
</file>

<file path=customXml/itemProps5.xml><?xml version="1.0" encoding="utf-8"?>
<ds:datastoreItem xmlns:ds="http://schemas.openxmlformats.org/officeDocument/2006/customXml" ds:itemID="{AB914A8A-A83C-4120-B07B-A82192390C6B}">
  <ds:schemaRefs>
    <ds:schemaRef ds:uri="http://schemas.openxmlformats.org/officeDocument/2006/bibliography"/>
  </ds:schemaRefs>
</ds:datastoreItem>
</file>

<file path=customXml/itemProps6.xml><?xml version="1.0" encoding="utf-8"?>
<ds:datastoreItem xmlns:ds="http://schemas.openxmlformats.org/officeDocument/2006/customXml" ds:itemID="{44AEE155-2BB7-467B-91DA-DC3241C0BAC2}"/>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883</Words>
  <Characters>6131</Characters>
  <Application>Microsoft Office Word</Application>
  <DocSecurity>4</DocSecurity>
  <Lines>51</Lines>
  <Paragraphs>13</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7001</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PW_PR_TPSi_TWIN_CS</dc:title>
  <dc:subject/>
  <dc:creator>Demirok Fidan</dc:creator>
  <cp:keywords/>
  <cp:lastModifiedBy>Stiglhuber Carolina</cp:lastModifiedBy>
  <cp:revision>2</cp:revision>
  <cp:lastPrinted>2016-07-21T12:13:00Z</cp:lastPrinted>
  <dcterms:created xsi:type="dcterms:W3CDTF">2019-07-08T07:53:00Z</dcterms:created>
  <dcterms:modified xsi:type="dcterms:W3CDTF">2019-07-08T07:53:00Z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o83eafb9fd8f4e0d935a1b8f7d26b594">
    <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acbd67c0-feba-4b17-8436-7d8f6d9fec2a,6;acbd67c0-feba-4b17-8436-7d8f6d9fec2a,6;beb323fc-0212-4837-8558-f431e1d953f5,90;beb323fc-0212-4837-8558-f431e1d953f5,94;beb323fc-0212-4837-8558-f431e1d953f5,99;f23899af-90e5-4213-b122-4e07c0f837c2,103;f23899af-90e5-4213-b122-4e07c0f837c2,107;f23899af-90e5-4213-b122-4e07c0f837c2,110;f23899af-90e5-4213-b122-4e07c0f837c2,113;f23899af-90e5-4213-b122-4e07c0f837c2,117;f23899af-90e5-4213-b122-4e07c0f837c2,120;f23899af-90e5-4213-b122-4e07c0f837c2,124;f23899af-90e5-4213-b122-4e07c0f837c2,128;f23899af-90e5-4213-b122-4e07c0f837c2,131;f23899af-90e5-4213-b122-4e07c0f837c2,134;f23899af-90e5-4213-b122-4e07c0f837c2,137;f23899af-90e5-4213-b122-4e07c0f837c2,140;f23899af-90e5-4213-b122-4e07c0f837c2,143;f23899af-90e5-4213-b122-4e07c0f837c2,146;f23899af-90e5-4213-b122-4e07c0f837c2,149;f23899af-90e5-4213-b122-4e07c0f837c2,152;f23899af-90e5-4213-b122-4e07c0f837c2,156;f23899af-90e5-4213-b122-4e07c0f837c2,159;f23899af-90e5-4213-b122-4e07c0f837c2,162;f23899af-90e5-4213-b122-4e07c0f837c2,165;f23899af-90e5-4213-b122-4e07c0f837c2,169;f23899af-90e5-4213-b122-4e07c0f837c2,172;f23899af-90e5-4213-b122-4e07c0f837c2,175;f23899af-90e5-4213-b122-4e07c0f837c2,178;f23899af-90e5-4213-b122-4e07c0f837c2,182;f23899af-90e5-4213-b122-4e07c0f837c2,185;f23899af-90e5-4213-b122-4e07c0f837c2,188;f23899af-90e5-4213-b122-4e07c0f837c2,191;f23899af-90e5-4213-b122-4e07c0f837c2,194;f23899af-90e5-4213-b122-4e07c0f837c2,198;f23899af-90e5-4213-b122-4e07c0f837c2,201;f23899af-90e5-4213-b122-4e07c0f837c2,204;a8dd0ddf-bfd4-44dd-a6bb-0c3c9675194c,207;a8dd0ddf-bfd4-44dd-a6bb-0c3c9675194c,207;6d1b5151-d866-4942-aea1-17c7cb28edce,233;6d1b5151-d866-4942-aea1-17c7cb28edce,237;84063e84-3b90-4264-9d91-20c80f9713f8,289;84063e84-3b90-4264-9d91-20c80f9713f8,289;84063e84-3b90-4264-9d91-20c80f9713f8,292;84063e84-3b90-4264-9d91-20c80f9713f8,305;</vt:lpwstr>
  </property>
  <property fmtid="{D5CDD505-2E9C-101B-9397-08002B2CF9AE}" pid="9" name="Web Display Title SV">
    <vt:lpwstr>TPS/i TWIN Push</vt:lpwstr>
  </property>
  <property fmtid="{D5CDD505-2E9C-101B-9397-08002B2CF9AE}" pid="10" name="_docset_NoMedatataSyncRequired">
    <vt:lpwstr>False</vt:lpwstr>
  </property>
  <property fmtid="{D5CDD505-2E9C-101B-9397-08002B2CF9AE}" pid="11" name="Language">
    <vt:lpwstr>260;##CS|05a665d3-326a-4de0-af4a-24a782e32e1b</vt:lpwstr>
  </property>
  <property fmtid="{D5CDD505-2E9C-101B-9397-08002B2CF9AE}" pid="12" name="DisableEventReceiver">
    <vt:bool>false</vt:bool>
  </property>
  <property fmtid="{D5CDD505-2E9C-101B-9397-08002B2CF9AE}" pid="13" name="_dlc_DocIdItemGuid">
    <vt:lpwstr>b3f6ce62-e2a1-4f71-8eda-cadbc0f1a22a</vt:lpwstr>
  </property>
</Properties>
</file>