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3C0D" w:rsidRPr="00C724A2" w:rsidRDefault="00E03C0D" w:rsidP="00C724A2">
      <w:pPr>
        <w:rPr>
          <w:rFonts w:cs="Arial"/>
        </w:rPr>
      </w:pPr>
    </w:p>
    <w:p w:rsidR="00E03C0D" w:rsidRPr="00C724A2" w:rsidRDefault="00E03C0D" w:rsidP="00C724A2">
      <w:pPr>
        <w:rPr>
          <w:rFonts w:cs="Arial"/>
        </w:rPr>
      </w:pPr>
    </w:p>
    <w:p w:rsidR="00E03C0D" w:rsidRPr="00C724A2" w:rsidRDefault="00E03C0D" w:rsidP="00C724A2">
      <w:pPr>
        <w:rPr>
          <w:rFonts w:cs="Arial"/>
        </w:rPr>
        <w:sectPr w:rsidR="00E03C0D" w:rsidRPr="00C724A2" w:rsidSect="00E03C0D">
          <w:headerReference w:type="default" r:id="rId8"/>
          <w:footerReference w:type="default" r:id="rId9"/>
          <w:pgSz w:w="11906" w:h="16838"/>
          <w:pgMar w:top="1977" w:right="746" w:bottom="1134" w:left="1260" w:header="708" w:footer="481" w:gutter="0"/>
          <w:cols w:space="708"/>
          <w:docGrid w:linePitch="360"/>
        </w:sectPr>
      </w:pPr>
    </w:p>
    <w:p w:rsidR="00E03C0D" w:rsidRPr="00C724A2" w:rsidRDefault="00E03C0D" w:rsidP="00C724A2">
      <w:pPr>
        <w:pStyle w:val="berschrift1"/>
        <w:spacing w:before="0" w:after="0"/>
      </w:pPr>
      <w:r w:rsidRPr="00C724A2">
        <w:t>NOTA DE PRENSA</w:t>
      </w:r>
    </w:p>
    <w:p w:rsidR="00E03C0D" w:rsidRPr="00C724A2" w:rsidRDefault="00E03C0D" w:rsidP="00C724A2">
      <w:pPr>
        <w:rPr>
          <w:rFonts w:cs="Arial"/>
          <w:szCs w:val="20"/>
        </w:rPr>
      </w:pPr>
    </w:p>
    <w:p w:rsidR="00C724A2" w:rsidRDefault="00C724A2" w:rsidP="00C724A2">
      <w:pPr>
        <w:pStyle w:val="Titel"/>
        <w:pBdr>
          <w:bottom w:val="none" w:sz="0" w:space="0" w:color="auto"/>
        </w:pBdr>
        <w:spacing w:after="0"/>
        <w:rPr>
          <w:rFonts w:ascii="Arial" w:hAnsi="Arial" w:cs="Arial"/>
          <w:b/>
          <w:color w:val="000000"/>
          <w:sz w:val="28"/>
        </w:rPr>
      </w:pPr>
    </w:p>
    <w:p w:rsidR="006B7E9F" w:rsidRPr="006B7E9F" w:rsidRDefault="006B7E9F" w:rsidP="006B7E9F">
      <w:pPr>
        <w:rPr>
          <w:rFonts w:eastAsia="Times New Roman" w:cs="Arial"/>
          <w:b/>
          <w:color w:val="000000"/>
          <w:spacing w:val="5"/>
          <w:kern w:val="28"/>
          <w:sz w:val="28"/>
          <w:szCs w:val="52"/>
          <w:lang w:val="es-ES"/>
        </w:rPr>
      </w:pPr>
      <w:r w:rsidRPr="006B7E9F">
        <w:rPr>
          <w:rFonts w:eastAsia="Times New Roman" w:cs="Arial"/>
          <w:b/>
          <w:color w:val="000000"/>
          <w:spacing w:val="5"/>
          <w:kern w:val="28"/>
          <w:sz w:val="28"/>
          <w:szCs w:val="52"/>
          <w:lang w:val="es-ES"/>
        </w:rPr>
        <w:t>Calefacción sostenible con biomasa</w:t>
      </w:r>
    </w:p>
    <w:p w:rsidR="00C724A2" w:rsidRPr="006B7E9F" w:rsidRDefault="00C724A2" w:rsidP="00C724A2">
      <w:pPr>
        <w:rPr>
          <w:rFonts w:cs="Arial"/>
          <w:b/>
          <w:szCs w:val="20"/>
          <w:lang w:val="es-ES" w:eastAsia="zh-TW"/>
        </w:rPr>
      </w:pPr>
    </w:p>
    <w:p w:rsidR="00C724A2" w:rsidRPr="00C724A2" w:rsidRDefault="00C724A2" w:rsidP="00C724A2">
      <w:pPr>
        <w:rPr>
          <w:rFonts w:cs="Arial"/>
          <w:b/>
          <w:szCs w:val="20"/>
        </w:rPr>
      </w:pPr>
    </w:p>
    <w:p w:rsidR="006B7E9F" w:rsidRPr="006B7E9F" w:rsidRDefault="006B7E9F" w:rsidP="006B7E9F">
      <w:pPr>
        <w:rPr>
          <w:rFonts w:cs="Arial"/>
          <w:b/>
          <w:szCs w:val="20"/>
          <w:lang w:val="es-ES"/>
        </w:rPr>
      </w:pPr>
      <w:r w:rsidRPr="006B7E9F">
        <w:rPr>
          <w:rFonts w:cs="Arial"/>
          <w:b/>
          <w:szCs w:val="20"/>
          <w:lang w:val="es-ES"/>
        </w:rPr>
        <w:t xml:space="preserve">El experto en innovación </w:t>
      </w:r>
      <w:proofErr w:type="spellStart"/>
      <w:r w:rsidRPr="006B7E9F">
        <w:rPr>
          <w:rFonts w:cs="Arial"/>
          <w:b/>
          <w:szCs w:val="20"/>
          <w:lang w:val="es-ES"/>
        </w:rPr>
        <w:t>Guntamatic</w:t>
      </w:r>
      <w:proofErr w:type="spellEnd"/>
      <w:r w:rsidRPr="006B7E9F">
        <w:rPr>
          <w:rFonts w:cs="Arial"/>
          <w:b/>
          <w:szCs w:val="20"/>
          <w:lang w:val="es-ES"/>
        </w:rPr>
        <w:t xml:space="preserve"> fabrica calderas con la tecnología de soldadura </w:t>
      </w:r>
      <w:proofErr w:type="spellStart"/>
      <w:r w:rsidRPr="006B7E9F">
        <w:rPr>
          <w:rFonts w:cs="Arial"/>
          <w:b/>
          <w:szCs w:val="20"/>
          <w:lang w:val="es-ES"/>
        </w:rPr>
        <w:t>premium</w:t>
      </w:r>
      <w:proofErr w:type="spellEnd"/>
      <w:r w:rsidRPr="006B7E9F">
        <w:rPr>
          <w:rFonts w:cs="Arial"/>
          <w:b/>
          <w:szCs w:val="20"/>
          <w:lang w:val="es-ES"/>
        </w:rPr>
        <w:t xml:space="preserve"> de Fronius</w:t>
      </w:r>
    </w:p>
    <w:p w:rsidR="006B7E9F" w:rsidRPr="006B7E9F" w:rsidRDefault="006B7E9F" w:rsidP="006B7E9F">
      <w:pPr>
        <w:rPr>
          <w:rFonts w:cs="Arial"/>
          <w:b/>
          <w:szCs w:val="20"/>
          <w:lang w:val="es-ES"/>
        </w:rPr>
      </w:pPr>
      <w:r w:rsidRPr="006B7E9F">
        <w:rPr>
          <w:rFonts w:cs="Arial"/>
          <w:b/>
          <w:szCs w:val="20"/>
          <w:lang w:val="es-ES"/>
        </w:rPr>
        <w:t xml:space="preserve">La empresa internacional </w:t>
      </w:r>
      <w:proofErr w:type="spellStart"/>
      <w:r w:rsidRPr="006B7E9F">
        <w:rPr>
          <w:rFonts w:cs="Arial"/>
          <w:b/>
          <w:szCs w:val="20"/>
          <w:lang w:val="es-ES"/>
        </w:rPr>
        <w:t>Guntamatic</w:t>
      </w:r>
      <w:proofErr w:type="spellEnd"/>
      <w:r w:rsidRPr="006B7E9F">
        <w:rPr>
          <w:rFonts w:cs="Arial"/>
          <w:b/>
          <w:szCs w:val="20"/>
          <w:lang w:val="es-ES"/>
        </w:rPr>
        <w:t xml:space="preserve"> GmbH construye sistemas de calefacción de alta tecnología en el sector de la biomasa, innovando con sistemas de calefacción de leña totalmente automatizados o con sistemas de calefacción por pellets. Esta empresa siempre ha utilizado la tecnología de soldadura Fronius para fabricar sus productos de alta calidad. Desde 2020, y con el fin de conseguir una producción aún más eficiente con la soldadura manual, la empresa familiar austriaca utiliza la serie Fronius-TransSteel-4000-Pulse.</w:t>
      </w:r>
    </w:p>
    <w:p w:rsidR="00C724A2" w:rsidRPr="006B7E9F" w:rsidRDefault="00C724A2" w:rsidP="00C724A2">
      <w:pPr>
        <w:rPr>
          <w:rFonts w:eastAsia="Times New Roman" w:cs="Arial"/>
          <w:b/>
          <w:szCs w:val="20"/>
          <w:lang w:val="es-ES"/>
        </w:rPr>
      </w:pPr>
    </w:p>
    <w:p w:rsidR="00C724A2" w:rsidRPr="00C724A2" w:rsidRDefault="00C724A2" w:rsidP="00C724A2">
      <w:pPr>
        <w:rPr>
          <w:rFonts w:cs="Arial"/>
          <w:szCs w:val="20"/>
        </w:rPr>
      </w:pPr>
    </w:p>
    <w:p w:rsidR="006B7E9F" w:rsidRPr="006B7E9F" w:rsidRDefault="006B7E9F" w:rsidP="006B7E9F">
      <w:pPr>
        <w:rPr>
          <w:rFonts w:cs="Arial"/>
          <w:szCs w:val="20"/>
          <w:lang w:val="es-ES"/>
        </w:rPr>
      </w:pPr>
      <w:r w:rsidRPr="006B7E9F">
        <w:rPr>
          <w:rFonts w:cs="Arial"/>
          <w:szCs w:val="20"/>
          <w:lang w:val="es-ES"/>
        </w:rPr>
        <w:t xml:space="preserve">Una verdadera historia de éxito austriaco, la pequeña empresa familiar </w:t>
      </w:r>
      <w:proofErr w:type="spellStart"/>
      <w:r w:rsidRPr="006B7E9F">
        <w:rPr>
          <w:rFonts w:cs="Arial"/>
          <w:szCs w:val="20"/>
          <w:lang w:val="es-ES"/>
        </w:rPr>
        <w:t>Guntamatic</w:t>
      </w:r>
      <w:proofErr w:type="spellEnd"/>
      <w:r w:rsidRPr="006B7E9F">
        <w:rPr>
          <w:rFonts w:cs="Arial"/>
          <w:szCs w:val="20"/>
          <w:lang w:val="es-ES"/>
        </w:rPr>
        <w:t xml:space="preserve"> de la zona rural de </w:t>
      </w:r>
      <w:proofErr w:type="spellStart"/>
      <w:r w:rsidRPr="006B7E9F">
        <w:rPr>
          <w:rFonts w:cs="Arial"/>
          <w:szCs w:val="20"/>
          <w:lang w:val="es-ES"/>
        </w:rPr>
        <w:t>Peuerbach</w:t>
      </w:r>
      <w:proofErr w:type="spellEnd"/>
      <w:r w:rsidRPr="006B7E9F">
        <w:rPr>
          <w:rFonts w:cs="Arial"/>
          <w:szCs w:val="20"/>
          <w:lang w:val="es-ES"/>
        </w:rPr>
        <w:t xml:space="preserve"> comenzó a fabricar calderas de leña en 1963 y se acabó convirtiendo en pionera internacional en el sector de la calefacción por biomasa. En los años 80, la tecnología de biomasa está en auge, </w:t>
      </w:r>
      <w:proofErr w:type="spellStart"/>
      <w:r w:rsidRPr="006B7E9F">
        <w:rPr>
          <w:rFonts w:cs="Arial"/>
          <w:szCs w:val="20"/>
          <w:lang w:val="es-ES"/>
        </w:rPr>
        <w:t>Guntamatic</w:t>
      </w:r>
      <w:proofErr w:type="spellEnd"/>
      <w:r w:rsidRPr="006B7E9F">
        <w:rPr>
          <w:rFonts w:cs="Arial"/>
          <w:szCs w:val="20"/>
          <w:lang w:val="es-ES"/>
        </w:rPr>
        <w:t xml:space="preserve"> crece y aparecen los primeros competidores. En los años 90, cada vez está más claro que los sistemas de calefacción por biomasa son neutros en cuanto a Co</w:t>
      </w:r>
      <w:r w:rsidRPr="006B7E9F">
        <w:rPr>
          <w:rFonts w:cs="Arial"/>
          <w:szCs w:val="20"/>
          <w:vertAlign w:val="subscript"/>
          <w:lang w:val="es-ES"/>
        </w:rPr>
        <w:t>2</w:t>
      </w:r>
      <w:r w:rsidRPr="006B7E9F">
        <w:rPr>
          <w:rFonts w:cs="Arial"/>
          <w:szCs w:val="20"/>
          <w:lang w:val="es-ES"/>
        </w:rPr>
        <w:t xml:space="preserve"> y funcionan como una alternativa limpia y completa a los sistemas de calefacción por gas y petróleo.</w:t>
      </w:r>
    </w:p>
    <w:p w:rsidR="006B7E9F" w:rsidRPr="006B7E9F" w:rsidRDefault="006B7E9F" w:rsidP="006B7E9F">
      <w:pPr>
        <w:rPr>
          <w:rFonts w:cs="Arial"/>
          <w:szCs w:val="20"/>
          <w:lang w:val="es-ES"/>
        </w:rPr>
      </w:pPr>
      <w:r w:rsidRPr="006B7E9F">
        <w:rPr>
          <w:rFonts w:cs="Arial"/>
          <w:szCs w:val="20"/>
          <w:lang w:val="es-ES"/>
        </w:rPr>
        <w:t xml:space="preserve">Los sistemas de calefacción híbridos de </w:t>
      </w:r>
      <w:proofErr w:type="spellStart"/>
      <w:r w:rsidRPr="006B7E9F">
        <w:rPr>
          <w:rFonts w:cs="Arial"/>
          <w:szCs w:val="20"/>
          <w:lang w:val="es-ES"/>
        </w:rPr>
        <w:t>Guntamatic</w:t>
      </w:r>
      <w:proofErr w:type="spellEnd"/>
      <w:r w:rsidRPr="006B7E9F">
        <w:rPr>
          <w:rFonts w:cs="Arial"/>
          <w:szCs w:val="20"/>
          <w:lang w:val="es-ES"/>
        </w:rPr>
        <w:t xml:space="preserve"> combinan ambas cosas: la generación de calor mediante una bomba de calor eléctrica para la preparación de agua caliente y la combustión de biomasa. El sistema accede constantemente a la corriente almacenada y a los precios de la madera/pellet. Incluso teniendo en cuenta las preferencias personales, el sistema de calefacción híbrido cambia automáticamente entre el consumo de electricidad y la combustión de biomasa.</w:t>
      </w:r>
    </w:p>
    <w:p w:rsidR="006B7E9F" w:rsidRPr="006B7E9F" w:rsidRDefault="006B7E9F" w:rsidP="006B7E9F">
      <w:pPr>
        <w:rPr>
          <w:rFonts w:cs="Arial"/>
          <w:szCs w:val="20"/>
          <w:lang w:val="es-ES"/>
        </w:rPr>
      </w:pPr>
      <w:r w:rsidRPr="006B7E9F">
        <w:rPr>
          <w:rFonts w:cs="Arial"/>
          <w:szCs w:val="20"/>
          <w:lang w:val="es-ES"/>
        </w:rPr>
        <w:t xml:space="preserve">Sin embargo, los sistemas </w:t>
      </w:r>
      <w:proofErr w:type="spellStart"/>
      <w:r w:rsidRPr="006B7E9F">
        <w:rPr>
          <w:rFonts w:cs="Arial"/>
          <w:szCs w:val="20"/>
          <w:lang w:val="es-ES"/>
        </w:rPr>
        <w:t>Guntamatic</w:t>
      </w:r>
      <w:proofErr w:type="spellEnd"/>
      <w:r w:rsidRPr="006B7E9F">
        <w:rPr>
          <w:rFonts w:cs="Arial"/>
          <w:szCs w:val="20"/>
          <w:lang w:val="es-ES"/>
        </w:rPr>
        <w:t xml:space="preserve"> no solo llevan la calefacción a otro nivel, sino también el confort. </w:t>
      </w:r>
      <w:proofErr w:type="spellStart"/>
      <w:r w:rsidRPr="006B7E9F">
        <w:rPr>
          <w:rFonts w:cs="Arial"/>
          <w:szCs w:val="20"/>
          <w:lang w:val="es-ES"/>
        </w:rPr>
        <w:t>Guntamatic</w:t>
      </w:r>
      <w:proofErr w:type="spellEnd"/>
      <w:r w:rsidRPr="006B7E9F">
        <w:rPr>
          <w:rFonts w:cs="Arial"/>
          <w:szCs w:val="20"/>
          <w:lang w:val="es-ES"/>
        </w:rPr>
        <w:t xml:space="preserve"> consigue aumentar el confort de la vivienda a través de elementos calefactores de elegante diseño con aspecto de chimenea que llevan el proceso de combustión al salón y proporcionan un acogedor calor radiante.</w:t>
      </w:r>
    </w:p>
    <w:p w:rsidR="006B7E9F" w:rsidRPr="006B7E9F" w:rsidRDefault="006B7E9F" w:rsidP="006B7E9F">
      <w:pPr>
        <w:rPr>
          <w:rFonts w:cs="Arial"/>
          <w:szCs w:val="20"/>
          <w:lang w:val="es-ES"/>
        </w:rPr>
      </w:pPr>
    </w:p>
    <w:p w:rsidR="006B7E9F" w:rsidRPr="006B7E9F" w:rsidRDefault="006B7E9F" w:rsidP="006B7E9F">
      <w:pPr>
        <w:rPr>
          <w:rFonts w:cs="Arial"/>
          <w:b/>
          <w:szCs w:val="20"/>
          <w:lang w:val="es-ES"/>
        </w:rPr>
      </w:pPr>
      <w:r w:rsidRPr="006B7E9F">
        <w:rPr>
          <w:rFonts w:cs="Arial"/>
          <w:b/>
          <w:szCs w:val="20"/>
          <w:lang w:val="es-ES"/>
        </w:rPr>
        <w:t xml:space="preserve">Sostenibilidad, rentabilidad y eficiencia </w:t>
      </w:r>
    </w:p>
    <w:p w:rsidR="006B7E9F" w:rsidRPr="006B7E9F" w:rsidRDefault="006B7E9F" w:rsidP="006B7E9F">
      <w:pPr>
        <w:rPr>
          <w:rFonts w:cs="Arial"/>
          <w:szCs w:val="20"/>
          <w:lang w:val="es-ES"/>
        </w:rPr>
      </w:pPr>
      <w:r w:rsidRPr="006B7E9F">
        <w:rPr>
          <w:rFonts w:cs="Arial"/>
          <w:szCs w:val="20"/>
          <w:lang w:val="es-ES"/>
        </w:rPr>
        <w:t xml:space="preserve">"Con la llegada de los sistemas de calefacción con pellets, el sector se dispara por fin a principios de la década de los 2000", explica </w:t>
      </w:r>
      <w:proofErr w:type="spellStart"/>
      <w:r w:rsidRPr="006B7E9F">
        <w:rPr>
          <w:rFonts w:cs="Arial"/>
          <w:szCs w:val="20"/>
          <w:lang w:val="es-ES"/>
        </w:rPr>
        <w:t>Günther</w:t>
      </w:r>
      <w:proofErr w:type="spellEnd"/>
      <w:r w:rsidRPr="006B7E9F">
        <w:rPr>
          <w:rFonts w:cs="Arial"/>
          <w:szCs w:val="20"/>
          <w:lang w:val="es-ES"/>
        </w:rPr>
        <w:t xml:space="preserve"> </w:t>
      </w:r>
      <w:proofErr w:type="spellStart"/>
      <w:r w:rsidRPr="006B7E9F">
        <w:rPr>
          <w:rFonts w:cs="Arial"/>
          <w:szCs w:val="20"/>
          <w:lang w:val="es-ES"/>
        </w:rPr>
        <w:t>Huemer</w:t>
      </w:r>
      <w:proofErr w:type="spellEnd"/>
      <w:r w:rsidRPr="006B7E9F">
        <w:rPr>
          <w:rFonts w:cs="Arial"/>
          <w:szCs w:val="20"/>
          <w:lang w:val="es-ES"/>
        </w:rPr>
        <w:t xml:space="preserve">, Director General de </w:t>
      </w:r>
      <w:proofErr w:type="spellStart"/>
      <w:r w:rsidRPr="006B7E9F">
        <w:rPr>
          <w:rFonts w:cs="Arial"/>
          <w:szCs w:val="20"/>
          <w:lang w:val="es-ES"/>
        </w:rPr>
        <w:t>Guntamatic</w:t>
      </w:r>
      <w:proofErr w:type="spellEnd"/>
      <w:r w:rsidRPr="006B7E9F">
        <w:rPr>
          <w:rFonts w:cs="Arial"/>
          <w:szCs w:val="20"/>
          <w:lang w:val="es-ES"/>
        </w:rPr>
        <w:t xml:space="preserve"> GmbH. Esta empresa de mediano tamaño, que cuenta ahora con unos 250 empleados, crece como consecuencia de esta evolución, lo cual también repercute en la producción: "Tenemos que garantizar la rentabilidad en todos los ámbitos y seguir ofreciendo el máximo nivel de calidad, por ello es necesario un alto grado de automatización (especialmente en la el procesamiento de la chapa) para seguir siendo competitivos con los países de bajos salarios en el ámbito nacional.</w:t>
      </w:r>
    </w:p>
    <w:p w:rsidR="006B7E9F" w:rsidRPr="006B7E9F" w:rsidRDefault="006B7E9F" w:rsidP="006B7E9F">
      <w:pPr>
        <w:rPr>
          <w:rFonts w:cs="Arial"/>
          <w:szCs w:val="20"/>
          <w:lang w:val="es-ES"/>
        </w:rPr>
      </w:pPr>
      <w:r w:rsidRPr="006B7E9F">
        <w:rPr>
          <w:rFonts w:cs="Arial"/>
          <w:szCs w:val="20"/>
          <w:lang w:val="es-ES"/>
        </w:rPr>
        <w:t xml:space="preserve">Pero la rentabilidad no existe en </w:t>
      </w:r>
      <w:proofErr w:type="spellStart"/>
      <w:r w:rsidRPr="006B7E9F">
        <w:rPr>
          <w:rFonts w:cs="Arial"/>
          <w:szCs w:val="20"/>
          <w:lang w:val="es-ES"/>
        </w:rPr>
        <w:t>Guntamatic</w:t>
      </w:r>
      <w:proofErr w:type="spellEnd"/>
      <w:r w:rsidRPr="006B7E9F">
        <w:rPr>
          <w:rFonts w:cs="Arial"/>
          <w:szCs w:val="20"/>
          <w:lang w:val="es-ES"/>
        </w:rPr>
        <w:t xml:space="preserve"> sin tener en cuenta la sostenibilidad: "La producción de nuestros sistemas de calefacción se centra en la durabilidad", continúa </w:t>
      </w:r>
      <w:proofErr w:type="spellStart"/>
      <w:r w:rsidRPr="006B7E9F">
        <w:rPr>
          <w:rFonts w:cs="Arial"/>
          <w:szCs w:val="20"/>
          <w:lang w:val="es-ES"/>
        </w:rPr>
        <w:t>Huemer</w:t>
      </w:r>
      <w:proofErr w:type="spellEnd"/>
      <w:r w:rsidRPr="006B7E9F">
        <w:rPr>
          <w:rFonts w:cs="Arial"/>
          <w:szCs w:val="20"/>
          <w:lang w:val="es-ES"/>
        </w:rPr>
        <w:t>. "Intentamos producir productos sostenibles, limpios y seguros. La huella ecológica juega un papel decisivo para nosotros. También exigimos esta sostenibilidad y calidad a nuestros socios comerciales, ya que es muy importante para nosotros que los productos y las materias primas que adquirimos tengan una larga vida útil y sean de calidad".</w:t>
      </w:r>
    </w:p>
    <w:p w:rsidR="006B7E9F" w:rsidRPr="006B7E9F" w:rsidRDefault="006B7E9F" w:rsidP="006B7E9F">
      <w:pPr>
        <w:rPr>
          <w:rFonts w:cs="Arial"/>
          <w:szCs w:val="20"/>
          <w:lang w:val="es-ES"/>
        </w:rPr>
      </w:pPr>
      <w:r w:rsidRPr="006B7E9F">
        <w:rPr>
          <w:rFonts w:cs="Arial"/>
          <w:szCs w:val="20"/>
          <w:lang w:val="es-ES"/>
        </w:rPr>
        <w:t xml:space="preserve">En este sentido, la empresa también apuesta por una relación estrecha y de confianza con sus proveedores: "Lo que realmente nos importa es contar con una asistencia buena, rápida y de confianza, confirma </w:t>
      </w:r>
      <w:proofErr w:type="spellStart"/>
      <w:r w:rsidRPr="006B7E9F">
        <w:rPr>
          <w:rFonts w:cs="Arial"/>
          <w:szCs w:val="20"/>
          <w:lang w:val="es-ES"/>
        </w:rPr>
        <w:t>Huemer</w:t>
      </w:r>
      <w:proofErr w:type="spellEnd"/>
      <w:r w:rsidRPr="006B7E9F">
        <w:rPr>
          <w:rFonts w:cs="Arial"/>
          <w:szCs w:val="20"/>
          <w:lang w:val="es-ES"/>
        </w:rPr>
        <w:t>. Por eso uno de nuestros socios es Fronius, que nos acompaña en el sector de la soldadura manual desde el principio".</w:t>
      </w:r>
    </w:p>
    <w:p w:rsidR="006B7E9F" w:rsidRPr="006B7E9F" w:rsidRDefault="006B7E9F" w:rsidP="006B7E9F">
      <w:pPr>
        <w:rPr>
          <w:rFonts w:cs="Arial"/>
          <w:b/>
          <w:szCs w:val="20"/>
          <w:lang w:val="es-ES"/>
        </w:rPr>
      </w:pPr>
    </w:p>
    <w:p w:rsidR="006B7E9F" w:rsidRPr="006B7E9F" w:rsidRDefault="006B7E9F" w:rsidP="006B7E9F">
      <w:pPr>
        <w:rPr>
          <w:rFonts w:cs="Arial"/>
          <w:b/>
          <w:szCs w:val="20"/>
          <w:lang w:val="es-ES"/>
        </w:rPr>
      </w:pPr>
      <w:r w:rsidRPr="006B7E9F">
        <w:rPr>
          <w:rFonts w:cs="Arial"/>
          <w:b/>
          <w:szCs w:val="20"/>
          <w:lang w:val="es-ES"/>
        </w:rPr>
        <w:t>Tecnología de producción y ensamblaje</w:t>
      </w:r>
    </w:p>
    <w:p w:rsidR="006B7E9F" w:rsidRPr="006B7E9F" w:rsidRDefault="006B7E9F" w:rsidP="006B7E9F">
      <w:pPr>
        <w:rPr>
          <w:rFonts w:cs="Arial"/>
          <w:szCs w:val="20"/>
          <w:lang w:val="es-ES"/>
        </w:rPr>
      </w:pPr>
      <w:r w:rsidRPr="006B7E9F">
        <w:rPr>
          <w:rFonts w:cs="Arial"/>
          <w:szCs w:val="20"/>
          <w:lang w:val="es-ES"/>
        </w:rPr>
        <w:t xml:space="preserve">"La producción de </w:t>
      </w:r>
      <w:proofErr w:type="spellStart"/>
      <w:r w:rsidRPr="006B7E9F">
        <w:rPr>
          <w:rFonts w:cs="Arial"/>
          <w:szCs w:val="20"/>
          <w:lang w:val="es-ES"/>
        </w:rPr>
        <w:t>Guntamatic</w:t>
      </w:r>
      <w:proofErr w:type="spellEnd"/>
      <w:r w:rsidRPr="006B7E9F">
        <w:rPr>
          <w:rFonts w:cs="Arial"/>
          <w:szCs w:val="20"/>
          <w:lang w:val="es-ES"/>
        </w:rPr>
        <w:t xml:space="preserve"> es casi 100 % </w:t>
      </w:r>
      <w:proofErr w:type="spellStart"/>
      <w:r w:rsidRPr="006B7E9F">
        <w:rPr>
          <w:rFonts w:cs="Arial"/>
          <w:i/>
          <w:iCs/>
          <w:szCs w:val="20"/>
          <w:lang w:val="es-ES"/>
        </w:rPr>
        <w:t>made</w:t>
      </w:r>
      <w:proofErr w:type="spellEnd"/>
      <w:r w:rsidRPr="006B7E9F">
        <w:rPr>
          <w:rFonts w:cs="Arial"/>
          <w:i/>
          <w:iCs/>
          <w:szCs w:val="20"/>
          <w:lang w:val="es-ES"/>
        </w:rPr>
        <w:t xml:space="preserve"> in </w:t>
      </w:r>
      <w:proofErr w:type="spellStart"/>
      <w:r w:rsidRPr="006B7E9F">
        <w:rPr>
          <w:rFonts w:cs="Arial"/>
          <w:i/>
          <w:iCs/>
          <w:szCs w:val="20"/>
          <w:lang w:val="es-ES"/>
        </w:rPr>
        <w:t>Peuerbach</w:t>
      </w:r>
      <w:proofErr w:type="spellEnd"/>
      <w:r w:rsidRPr="006B7E9F">
        <w:rPr>
          <w:rFonts w:cs="Arial"/>
          <w:szCs w:val="20"/>
          <w:lang w:val="es-ES"/>
        </w:rPr>
        <w:t xml:space="preserve">, explica el experto mecánico </w:t>
      </w:r>
      <w:proofErr w:type="spellStart"/>
      <w:r w:rsidRPr="006B7E9F">
        <w:rPr>
          <w:rFonts w:cs="Arial"/>
          <w:szCs w:val="20"/>
          <w:lang w:val="es-ES"/>
        </w:rPr>
        <w:t>Roland</w:t>
      </w:r>
      <w:proofErr w:type="spellEnd"/>
      <w:r w:rsidRPr="006B7E9F">
        <w:rPr>
          <w:rFonts w:cs="Arial"/>
          <w:szCs w:val="20"/>
          <w:lang w:val="es-ES"/>
        </w:rPr>
        <w:t xml:space="preserve"> </w:t>
      </w:r>
      <w:proofErr w:type="spellStart"/>
      <w:r w:rsidRPr="006B7E9F">
        <w:rPr>
          <w:rFonts w:cs="Arial"/>
          <w:szCs w:val="20"/>
          <w:lang w:val="es-ES"/>
        </w:rPr>
        <w:t>Fellinger</w:t>
      </w:r>
      <w:proofErr w:type="spellEnd"/>
      <w:r w:rsidRPr="006B7E9F">
        <w:rPr>
          <w:rFonts w:cs="Arial"/>
          <w:szCs w:val="20"/>
          <w:lang w:val="es-ES"/>
        </w:rPr>
        <w:t xml:space="preserve">, que desempeña la función de Supervisor de soldadura en </w:t>
      </w:r>
      <w:proofErr w:type="spellStart"/>
      <w:r w:rsidRPr="006B7E9F">
        <w:rPr>
          <w:rFonts w:cs="Arial"/>
          <w:szCs w:val="20"/>
          <w:lang w:val="es-ES"/>
        </w:rPr>
        <w:t>Guntamatic</w:t>
      </w:r>
      <w:proofErr w:type="spellEnd"/>
      <w:r w:rsidRPr="006B7E9F">
        <w:rPr>
          <w:rFonts w:cs="Arial"/>
          <w:szCs w:val="20"/>
          <w:lang w:val="es-ES"/>
        </w:rPr>
        <w:t xml:space="preserve">. Solamente recibimos la chapa y las materias primas de forma externa. Después, el procesamiento, la producción de piezas y el montaje se realizan casi exclusivamente en nuestras instalaciones. Intentamos evitar comprar por partes". Una vez fabricados todos los componentes con </w:t>
      </w:r>
      <w:proofErr w:type="spellStart"/>
      <w:r w:rsidRPr="006B7E9F">
        <w:rPr>
          <w:rFonts w:cs="Arial"/>
          <w:szCs w:val="20"/>
          <w:lang w:val="es-ES"/>
        </w:rPr>
        <w:t>punzonadoras</w:t>
      </w:r>
      <w:proofErr w:type="spellEnd"/>
      <w:r w:rsidRPr="006B7E9F">
        <w:rPr>
          <w:rFonts w:cs="Arial"/>
          <w:szCs w:val="20"/>
          <w:lang w:val="es-ES"/>
        </w:rPr>
        <w:t xml:space="preserve"> CNC y otros equipos automatizados sofisticados, llega el </w:t>
      </w:r>
      <w:r w:rsidRPr="006B7E9F">
        <w:rPr>
          <w:rFonts w:cs="Arial"/>
          <w:szCs w:val="20"/>
          <w:lang w:val="es-ES"/>
        </w:rPr>
        <w:lastRenderedPageBreak/>
        <w:t xml:space="preserve">turno de la tecnología de ensamblaje: la soldadura de las calderas y sus largos cordones es principalmente automatizada. </w:t>
      </w:r>
    </w:p>
    <w:p w:rsidR="006B7E9F" w:rsidRPr="006B7E9F" w:rsidRDefault="006B7E9F" w:rsidP="006B7E9F">
      <w:pPr>
        <w:rPr>
          <w:rFonts w:cs="Arial"/>
          <w:szCs w:val="20"/>
          <w:lang w:val="es-ES"/>
        </w:rPr>
      </w:pPr>
      <w:r w:rsidRPr="006B7E9F">
        <w:rPr>
          <w:rFonts w:cs="Arial"/>
          <w:szCs w:val="20"/>
          <w:lang w:val="es-ES"/>
        </w:rPr>
        <w:t xml:space="preserve">Sin embargo, la soldadura robotizada deja de ser eficiente para el interior y el engrapado de las calderas debido a la limitada accesibilidad de los componentes. Se recurre entonces a la soldadura manual: "Aquí ensamblamos principalmente uniones en blanco y negro, es decir, acero con acero inoxidable", explica el maestro Fellinger. "Las calderas en forma de caja tienen uniones de esquina complicadas que los soldadores manuales deben </w:t>
      </w:r>
      <w:proofErr w:type="spellStart"/>
      <w:r w:rsidRPr="006B7E9F">
        <w:rPr>
          <w:rFonts w:cs="Arial"/>
          <w:szCs w:val="20"/>
          <w:lang w:val="es-ES"/>
        </w:rPr>
        <w:t>retrabajar</w:t>
      </w:r>
      <w:proofErr w:type="spellEnd"/>
      <w:r w:rsidRPr="006B7E9F">
        <w:rPr>
          <w:rFonts w:cs="Arial"/>
          <w:szCs w:val="20"/>
          <w:lang w:val="es-ES"/>
        </w:rPr>
        <w:t xml:space="preserve"> continuamente".</w:t>
      </w:r>
    </w:p>
    <w:p w:rsidR="006B7E9F" w:rsidRPr="006B7E9F" w:rsidRDefault="006B7E9F" w:rsidP="006B7E9F">
      <w:pPr>
        <w:rPr>
          <w:rFonts w:cs="Arial"/>
          <w:szCs w:val="20"/>
          <w:lang w:val="es-ES"/>
        </w:rPr>
      </w:pPr>
      <w:r w:rsidRPr="006B7E9F">
        <w:rPr>
          <w:rFonts w:cs="Arial"/>
          <w:szCs w:val="20"/>
          <w:lang w:val="es-ES"/>
        </w:rPr>
        <w:t xml:space="preserve">"Además, trabajamos con todo tipo de espesores de chapa. Por tanto, cambiamos principalmente entre el arco voltaico de transición y el de rociadura, con condiciones realmente difíciles debido a la selección de material". Anteriormente, esto generaba un alto grado de </w:t>
      </w:r>
      <w:proofErr w:type="spellStart"/>
      <w:r w:rsidRPr="006B7E9F">
        <w:rPr>
          <w:rFonts w:cs="Arial"/>
          <w:szCs w:val="20"/>
          <w:lang w:val="es-ES"/>
        </w:rPr>
        <w:t>retrabajo</w:t>
      </w:r>
      <w:proofErr w:type="spellEnd"/>
      <w:r w:rsidRPr="006B7E9F">
        <w:rPr>
          <w:rFonts w:cs="Arial"/>
          <w:szCs w:val="20"/>
          <w:lang w:val="es-ES"/>
        </w:rPr>
        <w:t xml:space="preserve"> en </w:t>
      </w:r>
      <w:proofErr w:type="spellStart"/>
      <w:r w:rsidRPr="006B7E9F">
        <w:rPr>
          <w:rFonts w:cs="Arial"/>
          <w:szCs w:val="20"/>
          <w:lang w:val="es-ES"/>
        </w:rPr>
        <w:t>Guntamatic</w:t>
      </w:r>
      <w:proofErr w:type="spellEnd"/>
      <w:r w:rsidRPr="006B7E9F">
        <w:rPr>
          <w:rFonts w:cs="Arial"/>
          <w:szCs w:val="20"/>
          <w:lang w:val="es-ES"/>
        </w:rPr>
        <w:t>.</w:t>
      </w:r>
    </w:p>
    <w:p w:rsidR="006B7E9F" w:rsidRPr="006B7E9F" w:rsidRDefault="006B7E9F" w:rsidP="006B7E9F">
      <w:pPr>
        <w:rPr>
          <w:rFonts w:cs="Arial"/>
          <w:szCs w:val="20"/>
          <w:lang w:val="es-ES"/>
        </w:rPr>
      </w:pPr>
    </w:p>
    <w:p w:rsidR="006B7E9F" w:rsidRPr="006B7E9F" w:rsidRDefault="006B7E9F" w:rsidP="006B7E9F">
      <w:pPr>
        <w:rPr>
          <w:rFonts w:cs="Arial"/>
          <w:b/>
          <w:szCs w:val="20"/>
          <w:lang w:val="es-ES"/>
        </w:rPr>
      </w:pPr>
      <w:proofErr w:type="spellStart"/>
      <w:r w:rsidRPr="006B7E9F">
        <w:rPr>
          <w:rFonts w:cs="Arial"/>
          <w:b/>
          <w:szCs w:val="20"/>
          <w:lang w:val="es-ES"/>
        </w:rPr>
        <w:t>Guntamatic</w:t>
      </w:r>
      <w:proofErr w:type="spellEnd"/>
      <w:r w:rsidRPr="006B7E9F">
        <w:rPr>
          <w:rFonts w:cs="Arial"/>
          <w:b/>
          <w:szCs w:val="20"/>
          <w:lang w:val="es-ES"/>
        </w:rPr>
        <w:t xml:space="preserve"> moderniza el sector de la soldadura manual</w:t>
      </w:r>
    </w:p>
    <w:p w:rsidR="006B7E9F" w:rsidRPr="006B7E9F" w:rsidRDefault="006B7E9F" w:rsidP="006B7E9F">
      <w:pPr>
        <w:rPr>
          <w:rFonts w:cs="Arial"/>
          <w:szCs w:val="20"/>
          <w:lang w:val="es-ES"/>
        </w:rPr>
      </w:pPr>
      <w:r w:rsidRPr="006B7E9F">
        <w:rPr>
          <w:rFonts w:cs="Arial"/>
          <w:szCs w:val="20"/>
          <w:lang w:val="es-ES"/>
        </w:rPr>
        <w:t xml:space="preserve">"Por ello, nuestra principal preocupación era reducir los costes de </w:t>
      </w:r>
      <w:proofErr w:type="spellStart"/>
      <w:r w:rsidRPr="006B7E9F">
        <w:rPr>
          <w:rFonts w:cs="Arial"/>
          <w:szCs w:val="20"/>
          <w:lang w:val="es-ES"/>
        </w:rPr>
        <w:t>retrabajo</w:t>
      </w:r>
      <w:proofErr w:type="spellEnd"/>
      <w:r w:rsidRPr="006B7E9F">
        <w:rPr>
          <w:rFonts w:cs="Arial"/>
          <w:szCs w:val="20"/>
          <w:lang w:val="es-ES"/>
        </w:rPr>
        <w:t xml:space="preserve">", afirma </w:t>
      </w:r>
      <w:proofErr w:type="spellStart"/>
      <w:r w:rsidRPr="006B7E9F">
        <w:rPr>
          <w:rFonts w:cs="Arial"/>
          <w:szCs w:val="20"/>
          <w:lang w:val="es-ES"/>
        </w:rPr>
        <w:t>Fellinger</w:t>
      </w:r>
      <w:proofErr w:type="spellEnd"/>
      <w:r w:rsidRPr="006B7E9F">
        <w:rPr>
          <w:rFonts w:cs="Arial"/>
          <w:szCs w:val="20"/>
          <w:lang w:val="es-ES"/>
        </w:rPr>
        <w:t xml:space="preserve">. Es cierto que </w:t>
      </w:r>
      <w:proofErr w:type="spellStart"/>
      <w:r w:rsidRPr="006B7E9F">
        <w:rPr>
          <w:rFonts w:cs="Arial"/>
          <w:szCs w:val="20"/>
          <w:lang w:val="es-ES"/>
        </w:rPr>
        <w:t>Guntamatic</w:t>
      </w:r>
      <w:proofErr w:type="spellEnd"/>
      <w:r w:rsidRPr="006B7E9F">
        <w:rPr>
          <w:rFonts w:cs="Arial"/>
          <w:szCs w:val="20"/>
          <w:lang w:val="es-ES"/>
        </w:rPr>
        <w:t xml:space="preserve"> ha trabajado exclusivamente con los sistemas de soldadura Fronius en el sector de la soldadura manual desde el principio, inclusive el Vario </w:t>
      </w:r>
      <w:proofErr w:type="spellStart"/>
      <w:r w:rsidRPr="006B7E9F">
        <w:rPr>
          <w:rFonts w:cs="Arial"/>
          <w:szCs w:val="20"/>
          <w:lang w:val="es-ES"/>
        </w:rPr>
        <w:t>Synergic</w:t>
      </w:r>
      <w:proofErr w:type="spellEnd"/>
      <w:r w:rsidRPr="006B7E9F">
        <w:rPr>
          <w:rFonts w:cs="Arial"/>
          <w:szCs w:val="20"/>
          <w:lang w:val="es-ES"/>
        </w:rPr>
        <w:t xml:space="preserve"> (3500/4000), el </w:t>
      </w:r>
      <w:proofErr w:type="spellStart"/>
      <w:r w:rsidRPr="006B7E9F">
        <w:rPr>
          <w:rFonts w:cs="Arial"/>
          <w:szCs w:val="20"/>
          <w:lang w:val="es-ES"/>
        </w:rPr>
        <w:t>Transpocket</w:t>
      </w:r>
      <w:proofErr w:type="spellEnd"/>
      <w:r w:rsidRPr="006B7E9F">
        <w:rPr>
          <w:rFonts w:cs="Arial"/>
          <w:szCs w:val="20"/>
          <w:lang w:val="es-ES"/>
        </w:rPr>
        <w:t xml:space="preserve"> y, en el sector de la soldadura TIG, el </w:t>
      </w:r>
      <w:proofErr w:type="spellStart"/>
      <w:r w:rsidRPr="006B7E9F">
        <w:rPr>
          <w:rFonts w:cs="Arial"/>
          <w:szCs w:val="20"/>
          <w:lang w:val="es-ES"/>
        </w:rPr>
        <w:t>Magic</w:t>
      </w:r>
      <w:proofErr w:type="spellEnd"/>
      <w:r w:rsidRPr="006B7E9F">
        <w:rPr>
          <w:rFonts w:cs="Arial"/>
          <w:szCs w:val="20"/>
          <w:lang w:val="es-ES"/>
        </w:rPr>
        <w:t xml:space="preserve"> Wave. Pero, para el objetivo de reducir la carga de trabajo y los costes, la soldadura por arco pulsado en el sector MIG/MAG parecía oportuna e inevitable:</w:t>
      </w:r>
    </w:p>
    <w:p w:rsidR="006B7E9F" w:rsidRPr="006B7E9F" w:rsidRDefault="006B7E9F" w:rsidP="006B7E9F">
      <w:pPr>
        <w:rPr>
          <w:rFonts w:cs="Arial"/>
          <w:szCs w:val="20"/>
          <w:lang w:val="es-ES"/>
        </w:rPr>
      </w:pPr>
      <w:r w:rsidRPr="006B7E9F">
        <w:rPr>
          <w:rFonts w:cs="Arial"/>
          <w:szCs w:val="20"/>
          <w:lang w:val="es-ES"/>
        </w:rPr>
        <w:t xml:space="preserve">"Cuando Fronius lanzó la serie TransSteel Pulse al mercado en 2020, decidimos modernizarnos", continúa Fellinger. "La función de pulsado nos permite conseguir una estabilidad de proceso significativamente mayor y, por tanto, reducir considerablemente las proyecciones de soldadura. Por ello, hemos integrado en nuestra producción numerosos sistemas de soldadura TransSteel-4000-Pulse. Desde entonces, la soldadura manual es mucho más limpia y, de hecho, hemos conseguido reducir considerablemente el </w:t>
      </w:r>
      <w:proofErr w:type="spellStart"/>
      <w:r w:rsidRPr="006B7E9F">
        <w:rPr>
          <w:rFonts w:cs="Arial"/>
          <w:szCs w:val="20"/>
          <w:lang w:val="es-ES"/>
        </w:rPr>
        <w:t>retrabajo</w:t>
      </w:r>
      <w:proofErr w:type="spellEnd"/>
      <w:r w:rsidRPr="006B7E9F">
        <w:rPr>
          <w:rFonts w:cs="Arial"/>
          <w:szCs w:val="20"/>
          <w:lang w:val="es-ES"/>
        </w:rPr>
        <w:t>.</w:t>
      </w:r>
    </w:p>
    <w:p w:rsidR="006B7E9F" w:rsidRPr="006B7E9F" w:rsidRDefault="006B7E9F" w:rsidP="006B7E9F">
      <w:pPr>
        <w:rPr>
          <w:rFonts w:cs="Arial"/>
          <w:szCs w:val="20"/>
          <w:lang w:val="es-ES"/>
        </w:rPr>
      </w:pPr>
      <w:r w:rsidRPr="006B7E9F">
        <w:rPr>
          <w:rFonts w:cs="Arial"/>
          <w:szCs w:val="20"/>
          <w:lang w:val="es-ES"/>
        </w:rPr>
        <w:t>La facilidad de manejo de los equipos también era una prioridad para nosotros, y Fronius también nos lo ha ofrecido con el TransSteel 4000 Pulse, ya que los sistemas de soldadura estaban listos para su uso en unos pocos pasos".</w:t>
      </w:r>
    </w:p>
    <w:p w:rsidR="006B7E9F" w:rsidRPr="006B7E9F" w:rsidRDefault="006B7E9F" w:rsidP="006B7E9F">
      <w:pPr>
        <w:rPr>
          <w:rFonts w:cs="Arial"/>
          <w:szCs w:val="20"/>
          <w:lang w:val="es-ES"/>
        </w:rPr>
      </w:pPr>
    </w:p>
    <w:p w:rsidR="006B7E9F" w:rsidRPr="006B7E9F" w:rsidRDefault="006B7E9F" w:rsidP="006B7E9F">
      <w:pPr>
        <w:rPr>
          <w:rFonts w:cs="Arial"/>
          <w:b/>
          <w:szCs w:val="20"/>
          <w:lang w:val="es-ES"/>
        </w:rPr>
      </w:pPr>
      <w:r w:rsidRPr="006B7E9F">
        <w:rPr>
          <w:rFonts w:cs="Arial"/>
          <w:b/>
          <w:szCs w:val="20"/>
          <w:lang w:val="es-ES"/>
        </w:rPr>
        <w:t>Apoyo profesional en ventas y servicio</w:t>
      </w:r>
    </w:p>
    <w:p w:rsidR="006B7E9F" w:rsidRPr="006B7E9F" w:rsidRDefault="006B7E9F" w:rsidP="006B7E9F">
      <w:pPr>
        <w:rPr>
          <w:rFonts w:cs="Arial"/>
          <w:szCs w:val="20"/>
          <w:lang w:val="es-ES"/>
        </w:rPr>
      </w:pPr>
      <w:r w:rsidRPr="006B7E9F">
        <w:rPr>
          <w:rFonts w:cs="Arial"/>
          <w:szCs w:val="20"/>
          <w:lang w:val="es-ES"/>
        </w:rPr>
        <w:t>Si los soldadores tienen alguna duda sobre el manejo, el cuidado y el mantenimiento del sistema, Fellinger también lo tiene claro: "Fronius es una empresa líder y ofrece la máxima calidad. Esto significa que siempre tenemos un buen servicio a nuestra disposición. Esto es extremadamente importante para nosotros en términos de productividad, ya que esta cooperación garantiza decisiones rápidas y caminos cortos.</w:t>
      </w:r>
    </w:p>
    <w:p w:rsidR="006B7E9F" w:rsidRPr="006B7E9F" w:rsidRDefault="006B7E9F" w:rsidP="006B7E9F">
      <w:pPr>
        <w:rPr>
          <w:rFonts w:cs="Arial"/>
          <w:szCs w:val="20"/>
          <w:lang w:val="es-ES"/>
        </w:rPr>
      </w:pPr>
      <w:r w:rsidRPr="006B7E9F">
        <w:rPr>
          <w:rFonts w:cs="Arial"/>
          <w:szCs w:val="20"/>
          <w:lang w:val="es-ES"/>
        </w:rPr>
        <w:t xml:space="preserve">Si nuestros socios comerciales nos convencen, casi nunca los cambiamos", añade el Director General </w:t>
      </w:r>
      <w:proofErr w:type="spellStart"/>
      <w:r w:rsidRPr="006B7E9F">
        <w:rPr>
          <w:rFonts w:cs="Arial"/>
          <w:szCs w:val="20"/>
          <w:lang w:val="es-ES"/>
        </w:rPr>
        <w:t>Huemer</w:t>
      </w:r>
      <w:proofErr w:type="spellEnd"/>
      <w:r w:rsidRPr="006B7E9F">
        <w:rPr>
          <w:rFonts w:cs="Arial"/>
          <w:szCs w:val="20"/>
          <w:lang w:val="es-ES"/>
        </w:rPr>
        <w:t>. "Fronius ha sido uno de nuestros proveedores desde el principio. El nombre Fronius representa un nivel de calidad que necesitamos en la soldadura. La tecnología de soldadura es clave para garantizar la calidad, ya que desempeña un papel importante en la determinación del ciclo de vida de nuestros productos".</w:t>
      </w:r>
    </w:p>
    <w:p w:rsidR="006B7E9F" w:rsidRPr="006B7E9F" w:rsidRDefault="006B7E9F" w:rsidP="006B7E9F">
      <w:pPr>
        <w:rPr>
          <w:rFonts w:cs="Arial"/>
          <w:szCs w:val="20"/>
          <w:lang w:val="es-ES"/>
        </w:rPr>
      </w:pPr>
    </w:p>
    <w:p w:rsidR="006B7E9F" w:rsidRPr="006B7E9F" w:rsidRDefault="006B7E9F" w:rsidP="006B7E9F">
      <w:pPr>
        <w:rPr>
          <w:rFonts w:cs="Arial"/>
          <w:b/>
          <w:szCs w:val="20"/>
          <w:lang w:val="es-ES"/>
        </w:rPr>
      </w:pPr>
      <w:r w:rsidRPr="006B7E9F">
        <w:rPr>
          <w:rFonts w:cs="Arial"/>
          <w:b/>
          <w:szCs w:val="20"/>
          <w:lang w:val="es-ES"/>
        </w:rPr>
        <w:t xml:space="preserve">Fronius también es sinónimo de sostenibilidad para </w:t>
      </w:r>
      <w:proofErr w:type="spellStart"/>
      <w:r w:rsidRPr="006B7E9F">
        <w:rPr>
          <w:rFonts w:cs="Arial"/>
          <w:b/>
          <w:szCs w:val="20"/>
          <w:lang w:val="es-ES"/>
        </w:rPr>
        <w:t>Guntamatic</w:t>
      </w:r>
      <w:proofErr w:type="spellEnd"/>
    </w:p>
    <w:p w:rsidR="006B7E9F" w:rsidRPr="006B7E9F" w:rsidRDefault="006B7E9F" w:rsidP="006B7E9F">
      <w:pPr>
        <w:rPr>
          <w:rFonts w:cs="Arial"/>
          <w:szCs w:val="20"/>
          <w:lang w:val="es-ES"/>
        </w:rPr>
      </w:pPr>
      <w:r w:rsidRPr="006B7E9F">
        <w:rPr>
          <w:rFonts w:cs="Arial"/>
          <w:szCs w:val="20"/>
          <w:lang w:val="es-ES"/>
        </w:rPr>
        <w:t xml:space="preserve">Más allá de la tecnología de soldadura, Fronius también apoya a </w:t>
      </w:r>
      <w:proofErr w:type="spellStart"/>
      <w:r w:rsidRPr="006B7E9F">
        <w:rPr>
          <w:rFonts w:cs="Arial"/>
          <w:szCs w:val="20"/>
          <w:lang w:val="es-ES"/>
        </w:rPr>
        <w:t>Guntamatic</w:t>
      </w:r>
      <w:proofErr w:type="spellEnd"/>
      <w:r w:rsidRPr="006B7E9F">
        <w:rPr>
          <w:rFonts w:cs="Arial"/>
          <w:szCs w:val="20"/>
          <w:lang w:val="es-ES"/>
        </w:rPr>
        <w:t xml:space="preserve"> en cuestiones de sostenibilidad: "Debido a nuestra filosofía de empresa, la sostenibilidad energética en el centro de producción es una de nuestras prioridades. Era necesario conseguir que nuestra producción fuera neutra en Co</w:t>
      </w:r>
      <w:r w:rsidRPr="006B7E9F">
        <w:rPr>
          <w:rFonts w:cs="Arial"/>
          <w:szCs w:val="20"/>
          <w:vertAlign w:val="subscript"/>
          <w:lang w:val="es-ES"/>
        </w:rPr>
        <w:t>2</w:t>
      </w:r>
      <w:r w:rsidRPr="006B7E9F">
        <w:rPr>
          <w:rFonts w:cs="Arial"/>
          <w:szCs w:val="20"/>
          <w:lang w:val="es-ES"/>
        </w:rPr>
        <w:t xml:space="preserve">. Por supuesto, para conseguirlo volvimos a recurrir a Fronius. </w:t>
      </w:r>
    </w:p>
    <w:p w:rsidR="006B7E9F" w:rsidRPr="006B7E9F" w:rsidRDefault="006B7E9F" w:rsidP="006B7E9F">
      <w:pPr>
        <w:rPr>
          <w:rFonts w:cs="Arial"/>
          <w:szCs w:val="20"/>
          <w:lang w:val="es-ES"/>
        </w:rPr>
      </w:pPr>
      <w:r w:rsidRPr="006B7E9F">
        <w:rPr>
          <w:rFonts w:cs="Arial"/>
          <w:szCs w:val="20"/>
          <w:lang w:val="es-ES"/>
        </w:rPr>
        <w:t>La cuestión era saber quién era uno de los principales proveedores en el ámbito de la energía solar. Por eso ahora estamos encantados de contar con nuestra instalación fotovoltaica de 20 000 metros cuadrados con inversores Fronius".</w:t>
      </w:r>
    </w:p>
    <w:p w:rsidR="00E03C0D" w:rsidRDefault="00E03C0D" w:rsidP="00C724A2">
      <w:pPr>
        <w:rPr>
          <w:rFonts w:cs="Arial"/>
          <w:szCs w:val="20"/>
        </w:rPr>
      </w:pPr>
    </w:p>
    <w:p w:rsidR="00C724A2" w:rsidRPr="00C724A2" w:rsidRDefault="00C724A2" w:rsidP="00C724A2">
      <w:pPr>
        <w:rPr>
          <w:rFonts w:cs="Arial"/>
          <w:szCs w:val="20"/>
        </w:rPr>
      </w:pPr>
    </w:p>
    <w:p w:rsidR="00E03C0D" w:rsidRPr="00C724A2" w:rsidRDefault="006B7E9F" w:rsidP="00C724A2">
      <w:pPr>
        <w:rPr>
          <w:rFonts w:cs="Arial"/>
          <w:i/>
          <w:szCs w:val="20"/>
        </w:rPr>
      </w:pPr>
      <w:r>
        <w:rPr>
          <w:rFonts w:cs="Arial"/>
          <w:i/>
          <w:szCs w:val="20"/>
        </w:rPr>
        <w:t>7.817</w:t>
      </w:r>
      <w:r w:rsidR="00E03C0D" w:rsidRPr="00C724A2">
        <w:rPr>
          <w:rFonts w:cs="Arial"/>
          <w:i/>
          <w:szCs w:val="20"/>
        </w:rPr>
        <w:t xml:space="preserve"> caracteres incluidos espacios</w:t>
      </w:r>
    </w:p>
    <w:p w:rsidR="00E03C0D" w:rsidRDefault="00E03C0D" w:rsidP="00C724A2">
      <w:pPr>
        <w:rPr>
          <w:rFonts w:cs="Arial"/>
          <w:i/>
          <w:szCs w:val="20"/>
        </w:rPr>
      </w:pPr>
    </w:p>
    <w:p w:rsidR="00C724A2" w:rsidRPr="00C724A2" w:rsidRDefault="00C724A2" w:rsidP="00C724A2">
      <w:pPr>
        <w:rPr>
          <w:rFonts w:cs="Arial"/>
          <w:i/>
          <w:szCs w:val="20"/>
        </w:rPr>
      </w:pPr>
    </w:p>
    <w:p w:rsidR="006B7E9F" w:rsidRDefault="006B7E9F" w:rsidP="00C724A2">
      <w:pPr>
        <w:rPr>
          <w:rFonts w:cs="Arial"/>
          <w:b/>
          <w:szCs w:val="20"/>
        </w:rPr>
      </w:pPr>
    </w:p>
    <w:p w:rsidR="006B7E9F" w:rsidRDefault="006B7E9F" w:rsidP="00C724A2">
      <w:pPr>
        <w:rPr>
          <w:rFonts w:cs="Arial"/>
          <w:b/>
          <w:szCs w:val="20"/>
        </w:rPr>
      </w:pPr>
    </w:p>
    <w:p w:rsidR="006B7E9F" w:rsidRDefault="006B7E9F" w:rsidP="00C724A2">
      <w:pPr>
        <w:rPr>
          <w:rFonts w:cs="Arial"/>
          <w:b/>
          <w:szCs w:val="20"/>
        </w:rPr>
      </w:pPr>
    </w:p>
    <w:p w:rsidR="006B7E9F" w:rsidRDefault="006B7E9F" w:rsidP="00C724A2">
      <w:pPr>
        <w:rPr>
          <w:rFonts w:cs="Arial"/>
          <w:b/>
          <w:szCs w:val="20"/>
        </w:rPr>
      </w:pPr>
    </w:p>
    <w:p w:rsidR="006B7E9F" w:rsidRDefault="006B7E9F" w:rsidP="00C724A2">
      <w:pPr>
        <w:rPr>
          <w:rFonts w:cs="Arial"/>
          <w:b/>
          <w:szCs w:val="20"/>
        </w:rPr>
      </w:pPr>
    </w:p>
    <w:p w:rsidR="006B7E9F" w:rsidRDefault="006B7E9F" w:rsidP="00C724A2">
      <w:pPr>
        <w:rPr>
          <w:rFonts w:cs="Arial"/>
          <w:b/>
          <w:szCs w:val="20"/>
        </w:rPr>
      </w:pPr>
    </w:p>
    <w:p w:rsidR="006B7E9F" w:rsidRDefault="006B7E9F" w:rsidP="00C724A2">
      <w:pPr>
        <w:rPr>
          <w:rFonts w:cs="Arial"/>
          <w:b/>
          <w:szCs w:val="20"/>
        </w:rPr>
      </w:pPr>
    </w:p>
    <w:p w:rsidR="006B7E9F" w:rsidRDefault="006B7E9F" w:rsidP="00C724A2">
      <w:pPr>
        <w:rPr>
          <w:rFonts w:cs="Arial"/>
          <w:b/>
          <w:szCs w:val="20"/>
        </w:rPr>
      </w:pPr>
    </w:p>
    <w:p w:rsidR="006B7E9F" w:rsidRDefault="006B7E9F" w:rsidP="00C724A2">
      <w:pPr>
        <w:rPr>
          <w:rFonts w:cs="Arial"/>
          <w:b/>
          <w:szCs w:val="20"/>
        </w:rPr>
      </w:pPr>
    </w:p>
    <w:p w:rsidR="006B7E9F" w:rsidRDefault="006B7E9F" w:rsidP="00C724A2">
      <w:pPr>
        <w:rPr>
          <w:rFonts w:cs="Arial"/>
          <w:b/>
          <w:szCs w:val="20"/>
        </w:rPr>
      </w:pPr>
    </w:p>
    <w:p w:rsidR="00E03C0D" w:rsidRDefault="00E03C0D" w:rsidP="00C724A2">
      <w:pPr>
        <w:rPr>
          <w:rFonts w:cs="Arial"/>
          <w:b/>
          <w:szCs w:val="20"/>
        </w:rPr>
      </w:pPr>
      <w:r w:rsidRPr="00C724A2">
        <w:rPr>
          <w:rFonts w:cs="Arial"/>
          <w:b/>
          <w:szCs w:val="20"/>
        </w:rPr>
        <w:lastRenderedPageBreak/>
        <w:t xml:space="preserve">Subtítulos de foto: </w:t>
      </w:r>
    </w:p>
    <w:p w:rsidR="006B7E9F" w:rsidRPr="00C724A2" w:rsidRDefault="006B7E9F" w:rsidP="00C724A2">
      <w:pPr>
        <w:rPr>
          <w:rFonts w:cs="Arial"/>
          <w:b/>
          <w:szCs w:val="20"/>
        </w:rPr>
      </w:pPr>
    </w:p>
    <w:p w:rsidR="006B7E9F" w:rsidRPr="002E4DA6" w:rsidRDefault="006B7E9F" w:rsidP="006B7E9F">
      <w:pPr>
        <w:rPr>
          <w:rFonts w:cs="Arial"/>
          <w:i/>
          <w:sz w:val="18"/>
          <w:szCs w:val="20"/>
        </w:rPr>
      </w:pPr>
      <w:r>
        <w:rPr>
          <w:b/>
          <w:noProof/>
          <w:szCs w:val="20"/>
          <w:lang w:val="de-AT" w:eastAsia="de-AT"/>
        </w:rPr>
        <w:drawing>
          <wp:inline distT="0" distB="0" distL="0" distR="0" wp14:anchorId="605861B9" wp14:editId="39A9D2F8">
            <wp:extent cx="3505200" cy="2286000"/>
            <wp:effectExtent l="0" t="0" r="0" b="0"/>
            <wp:docPr id="1" name="Grafik 1" descr="115A57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115A579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05200" cy="2286000"/>
                    </a:xfrm>
                    <a:prstGeom prst="rect">
                      <a:avLst/>
                    </a:prstGeom>
                    <a:noFill/>
                    <a:ln>
                      <a:noFill/>
                    </a:ln>
                  </pic:spPr>
                </pic:pic>
              </a:graphicData>
            </a:graphic>
          </wp:inline>
        </w:drawing>
      </w:r>
    </w:p>
    <w:p w:rsidR="006B7E9F" w:rsidRDefault="006B7E9F" w:rsidP="006B7E9F">
      <w:pPr>
        <w:rPr>
          <w:rFonts w:cs="Arial"/>
          <w:i/>
          <w:sz w:val="18"/>
          <w:szCs w:val="20"/>
        </w:rPr>
      </w:pPr>
    </w:p>
    <w:p w:rsidR="006B7E9F" w:rsidRDefault="006B7E9F" w:rsidP="006B7E9F">
      <w:pPr>
        <w:rPr>
          <w:rFonts w:cs="Arial"/>
          <w:i/>
          <w:sz w:val="18"/>
          <w:szCs w:val="20"/>
        </w:rPr>
      </w:pPr>
      <w:r>
        <w:rPr>
          <w:rFonts w:cs="Arial"/>
          <w:i/>
          <w:sz w:val="18"/>
          <w:szCs w:val="20"/>
        </w:rPr>
        <w:t>Imagen 1</w:t>
      </w:r>
      <w:r w:rsidRPr="00D806C1">
        <w:rPr>
          <w:rFonts w:cs="Arial"/>
          <w:i/>
          <w:sz w:val="18"/>
          <w:szCs w:val="20"/>
        </w:rPr>
        <w:t xml:space="preserve">: </w:t>
      </w:r>
      <w:proofErr w:type="spellStart"/>
      <w:r w:rsidR="00802136" w:rsidRPr="00802136">
        <w:rPr>
          <w:rFonts w:cs="Arial"/>
          <w:i/>
          <w:sz w:val="18"/>
          <w:szCs w:val="20"/>
        </w:rPr>
        <w:t>Guntamatic</w:t>
      </w:r>
      <w:proofErr w:type="spellEnd"/>
      <w:r w:rsidR="00802136" w:rsidRPr="00802136">
        <w:rPr>
          <w:rFonts w:cs="Arial"/>
          <w:i/>
          <w:sz w:val="18"/>
          <w:szCs w:val="20"/>
        </w:rPr>
        <w:t xml:space="preserve"> fabrica sistemas de calefacción por biomasa de alta tecnología.</w:t>
      </w:r>
    </w:p>
    <w:p w:rsidR="006B7E9F" w:rsidRDefault="006B7E9F" w:rsidP="006B7E9F">
      <w:pPr>
        <w:rPr>
          <w:rFonts w:cs="Arial"/>
          <w:i/>
          <w:sz w:val="18"/>
          <w:szCs w:val="20"/>
        </w:rPr>
      </w:pPr>
    </w:p>
    <w:p w:rsidR="006B7E9F" w:rsidRDefault="006B7E9F" w:rsidP="006B7E9F">
      <w:pPr>
        <w:rPr>
          <w:rFonts w:cs="Arial"/>
          <w:i/>
          <w:sz w:val="18"/>
          <w:szCs w:val="20"/>
        </w:rPr>
      </w:pPr>
    </w:p>
    <w:p w:rsidR="006B7E9F" w:rsidRPr="002E4DA6" w:rsidRDefault="006B7E9F" w:rsidP="006B7E9F">
      <w:pPr>
        <w:rPr>
          <w:rFonts w:cs="Arial"/>
          <w:i/>
          <w:sz w:val="18"/>
          <w:szCs w:val="20"/>
        </w:rPr>
      </w:pPr>
    </w:p>
    <w:p w:rsidR="006B7E9F" w:rsidRDefault="006B7E9F" w:rsidP="006B7E9F">
      <w:pPr>
        <w:rPr>
          <w:b/>
          <w:szCs w:val="20"/>
        </w:rPr>
      </w:pPr>
      <w:r>
        <w:rPr>
          <w:b/>
          <w:noProof/>
          <w:szCs w:val="20"/>
          <w:lang w:val="de-AT" w:eastAsia="de-AT"/>
        </w:rPr>
        <w:drawing>
          <wp:inline distT="0" distB="0" distL="0" distR="0">
            <wp:extent cx="1760855" cy="2713990"/>
            <wp:effectExtent l="0" t="0" r="0" b="0"/>
            <wp:docPr id="9" name="Grafik 9" descr="115A5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15A535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60855" cy="2713990"/>
                    </a:xfrm>
                    <a:prstGeom prst="rect">
                      <a:avLst/>
                    </a:prstGeom>
                    <a:noFill/>
                    <a:ln>
                      <a:noFill/>
                    </a:ln>
                  </pic:spPr>
                </pic:pic>
              </a:graphicData>
            </a:graphic>
          </wp:inline>
        </w:drawing>
      </w:r>
    </w:p>
    <w:p w:rsidR="006B7E9F" w:rsidRDefault="006B7E9F" w:rsidP="006B7E9F">
      <w:pPr>
        <w:rPr>
          <w:i/>
          <w:sz w:val="18"/>
          <w:szCs w:val="20"/>
        </w:rPr>
      </w:pPr>
    </w:p>
    <w:p w:rsidR="00802136" w:rsidRDefault="006B7E9F" w:rsidP="006B7E9F">
      <w:pPr>
        <w:rPr>
          <w:i/>
          <w:sz w:val="18"/>
          <w:szCs w:val="20"/>
        </w:rPr>
      </w:pPr>
      <w:r>
        <w:rPr>
          <w:i/>
          <w:sz w:val="18"/>
          <w:szCs w:val="20"/>
        </w:rPr>
        <w:t>Imagen 2</w:t>
      </w:r>
      <w:r w:rsidRPr="00D806C1">
        <w:rPr>
          <w:i/>
          <w:sz w:val="18"/>
          <w:szCs w:val="20"/>
        </w:rPr>
        <w:t xml:space="preserve">: </w:t>
      </w:r>
      <w:proofErr w:type="spellStart"/>
      <w:r w:rsidR="00802136" w:rsidRPr="00802136">
        <w:rPr>
          <w:i/>
          <w:sz w:val="18"/>
          <w:szCs w:val="20"/>
        </w:rPr>
        <w:t>Günther</w:t>
      </w:r>
      <w:proofErr w:type="spellEnd"/>
      <w:r w:rsidR="00802136" w:rsidRPr="00802136">
        <w:rPr>
          <w:i/>
          <w:sz w:val="18"/>
          <w:szCs w:val="20"/>
        </w:rPr>
        <w:t xml:space="preserve"> </w:t>
      </w:r>
      <w:proofErr w:type="spellStart"/>
      <w:r w:rsidR="00802136" w:rsidRPr="00802136">
        <w:rPr>
          <w:i/>
          <w:sz w:val="18"/>
          <w:szCs w:val="20"/>
        </w:rPr>
        <w:t>Huemer</w:t>
      </w:r>
      <w:proofErr w:type="spellEnd"/>
      <w:r w:rsidR="00802136" w:rsidRPr="00802136">
        <w:rPr>
          <w:i/>
          <w:sz w:val="18"/>
          <w:szCs w:val="20"/>
        </w:rPr>
        <w:t xml:space="preserve">, Director de </w:t>
      </w:r>
      <w:proofErr w:type="spellStart"/>
      <w:r w:rsidR="00802136" w:rsidRPr="00802136">
        <w:rPr>
          <w:i/>
          <w:sz w:val="18"/>
          <w:szCs w:val="20"/>
        </w:rPr>
        <w:t>Guntamatic</w:t>
      </w:r>
      <w:proofErr w:type="spellEnd"/>
      <w:r w:rsidR="00802136" w:rsidRPr="00802136">
        <w:rPr>
          <w:i/>
          <w:sz w:val="18"/>
          <w:szCs w:val="20"/>
        </w:rPr>
        <w:t xml:space="preserve"> GmbH.</w:t>
      </w:r>
    </w:p>
    <w:p w:rsidR="006B7E9F" w:rsidRDefault="006B7E9F" w:rsidP="006B7E9F">
      <w:pPr>
        <w:rPr>
          <w:b/>
          <w:szCs w:val="20"/>
        </w:rPr>
      </w:pPr>
      <w:r>
        <w:rPr>
          <w:b/>
          <w:noProof/>
          <w:szCs w:val="20"/>
          <w:lang w:val="de-AT" w:eastAsia="de-AT"/>
        </w:rPr>
        <w:lastRenderedPageBreak/>
        <w:drawing>
          <wp:inline distT="0" distB="0" distL="0" distR="0">
            <wp:extent cx="1906905" cy="2781935"/>
            <wp:effectExtent l="0" t="0" r="0" b="0"/>
            <wp:docPr id="8" name="Grafik 8" descr="115A55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15A5537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06905" cy="2781935"/>
                    </a:xfrm>
                    <a:prstGeom prst="rect">
                      <a:avLst/>
                    </a:prstGeom>
                    <a:noFill/>
                    <a:ln>
                      <a:noFill/>
                    </a:ln>
                  </pic:spPr>
                </pic:pic>
              </a:graphicData>
            </a:graphic>
          </wp:inline>
        </w:drawing>
      </w:r>
    </w:p>
    <w:p w:rsidR="006B7E9F" w:rsidRDefault="006B7E9F" w:rsidP="006B7E9F">
      <w:pPr>
        <w:rPr>
          <w:rFonts w:cs="Arial"/>
          <w:i/>
          <w:sz w:val="18"/>
          <w:szCs w:val="20"/>
        </w:rPr>
      </w:pPr>
    </w:p>
    <w:p w:rsidR="006B7E9F" w:rsidRDefault="006B7E9F" w:rsidP="006B7E9F">
      <w:pPr>
        <w:rPr>
          <w:b/>
          <w:szCs w:val="20"/>
        </w:rPr>
      </w:pPr>
      <w:r>
        <w:rPr>
          <w:rFonts w:cs="Arial"/>
          <w:i/>
          <w:sz w:val="18"/>
          <w:szCs w:val="20"/>
        </w:rPr>
        <w:t>Imagen 3</w:t>
      </w:r>
      <w:r w:rsidRPr="00D806C1">
        <w:rPr>
          <w:rFonts w:cs="Arial"/>
          <w:i/>
          <w:sz w:val="18"/>
          <w:szCs w:val="20"/>
        </w:rPr>
        <w:t xml:space="preserve">: </w:t>
      </w:r>
      <w:r w:rsidR="00802136" w:rsidRPr="00802136">
        <w:rPr>
          <w:rFonts w:cs="Arial"/>
          <w:i/>
          <w:sz w:val="18"/>
          <w:szCs w:val="20"/>
        </w:rPr>
        <w:t xml:space="preserve">TransSteel Pulse en acción en </w:t>
      </w:r>
      <w:proofErr w:type="spellStart"/>
      <w:r w:rsidR="00802136" w:rsidRPr="00802136">
        <w:rPr>
          <w:rFonts w:cs="Arial"/>
          <w:i/>
          <w:sz w:val="18"/>
          <w:szCs w:val="20"/>
        </w:rPr>
        <w:t>Guntamatic</w:t>
      </w:r>
      <w:proofErr w:type="spellEnd"/>
      <w:r w:rsidR="00802136" w:rsidRPr="00802136">
        <w:rPr>
          <w:rFonts w:cs="Arial"/>
          <w:i/>
          <w:sz w:val="18"/>
          <w:szCs w:val="20"/>
        </w:rPr>
        <w:t>: La soldadura del interior de la caldera se realiza exclusivamente a mano.</w:t>
      </w:r>
    </w:p>
    <w:p w:rsidR="006B7E9F" w:rsidRDefault="006B7E9F" w:rsidP="006B7E9F">
      <w:pPr>
        <w:rPr>
          <w:b/>
          <w:szCs w:val="20"/>
        </w:rPr>
      </w:pPr>
    </w:p>
    <w:p w:rsidR="006B7E9F" w:rsidRDefault="006B7E9F" w:rsidP="006B7E9F">
      <w:pPr>
        <w:rPr>
          <w:b/>
          <w:szCs w:val="20"/>
        </w:rPr>
      </w:pPr>
    </w:p>
    <w:p w:rsidR="006B7E9F" w:rsidRDefault="006B7E9F" w:rsidP="006B7E9F">
      <w:pPr>
        <w:rPr>
          <w:b/>
          <w:szCs w:val="20"/>
        </w:rPr>
      </w:pPr>
      <w:r>
        <w:rPr>
          <w:b/>
          <w:noProof/>
          <w:szCs w:val="20"/>
          <w:lang w:val="de-AT" w:eastAsia="de-AT"/>
        </w:rPr>
        <w:drawing>
          <wp:inline distT="0" distB="0" distL="0" distR="0">
            <wp:extent cx="3492500" cy="2305685"/>
            <wp:effectExtent l="0" t="0" r="0" b="0"/>
            <wp:docPr id="6" name="Grafik 6" descr="115A5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15A548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492500" cy="2305685"/>
                    </a:xfrm>
                    <a:prstGeom prst="rect">
                      <a:avLst/>
                    </a:prstGeom>
                    <a:noFill/>
                    <a:ln>
                      <a:noFill/>
                    </a:ln>
                  </pic:spPr>
                </pic:pic>
              </a:graphicData>
            </a:graphic>
          </wp:inline>
        </w:drawing>
      </w:r>
    </w:p>
    <w:p w:rsidR="006B7E9F" w:rsidRDefault="006B7E9F" w:rsidP="006B7E9F">
      <w:pPr>
        <w:rPr>
          <w:rFonts w:cs="Arial"/>
          <w:i/>
          <w:sz w:val="18"/>
          <w:szCs w:val="20"/>
        </w:rPr>
      </w:pPr>
    </w:p>
    <w:p w:rsidR="006B7E9F" w:rsidRPr="00693612" w:rsidRDefault="006B7E9F" w:rsidP="006B7E9F">
      <w:pPr>
        <w:rPr>
          <w:rFonts w:cs="Arial"/>
          <w:b/>
          <w:szCs w:val="20"/>
        </w:rPr>
      </w:pPr>
      <w:r>
        <w:rPr>
          <w:rFonts w:cs="Arial"/>
          <w:i/>
          <w:sz w:val="18"/>
          <w:szCs w:val="20"/>
        </w:rPr>
        <w:t>Imagen 4</w:t>
      </w:r>
      <w:r w:rsidRPr="00D806C1">
        <w:rPr>
          <w:rFonts w:cs="Arial"/>
          <w:i/>
          <w:sz w:val="18"/>
          <w:szCs w:val="20"/>
        </w:rPr>
        <w:t xml:space="preserve">: </w:t>
      </w:r>
      <w:r w:rsidR="00C20A11" w:rsidRPr="00C20A11">
        <w:rPr>
          <w:rFonts w:cs="Arial"/>
          <w:i/>
          <w:sz w:val="18"/>
          <w:szCs w:val="20"/>
        </w:rPr>
        <w:t xml:space="preserve">Tras la soldadura robotizada, las uniones de esquina más complicadas se </w:t>
      </w:r>
      <w:proofErr w:type="spellStart"/>
      <w:r w:rsidR="00C20A11" w:rsidRPr="00C20A11">
        <w:rPr>
          <w:rFonts w:cs="Arial"/>
          <w:i/>
          <w:sz w:val="18"/>
          <w:szCs w:val="20"/>
        </w:rPr>
        <w:t>retrabajan</w:t>
      </w:r>
      <w:proofErr w:type="spellEnd"/>
      <w:r w:rsidR="00C20A11" w:rsidRPr="00C20A11">
        <w:rPr>
          <w:rFonts w:cs="Arial"/>
          <w:i/>
          <w:sz w:val="18"/>
          <w:szCs w:val="20"/>
        </w:rPr>
        <w:t xml:space="preserve"> a mano con ayuda de TransSteel Pulse.</w:t>
      </w:r>
      <w:bookmarkStart w:id="0" w:name="_GoBack"/>
      <w:bookmarkEnd w:id="0"/>
    </w:p>
    <w:p w:rsidR="006B7E9F" w:rsidRDefault="006B7E9F" w:rsidP="006B7E9F">
      <w:pPr>
        <w:rPr>
          <w:rFonts w:cs="Arial"/>
          <w:b/>
          <w:szCs w:val="20"/>
        </w:rPr>
      </w:pPr>
    </w:p>
    <w:p w:rsidR="006B7E9F" w:rsidRPr="002E4DA6" w:rsidRDefault="006B7E9F" w:rsidP="006B7E9F">
      <w:pPr>
        <w:rPr>
          <w:rFonts w:cs="Arial"/>
          <w:i/>
          <w:sz w:val="18"/>
          <w:szCs w:val="20"/>
        </w:rPr>
      </w:pPr>
      <w:r>
        <w:rPr>
          <w:rFonts w:cs="Arial"/>
          <w:b/>
          <w:noProof/>
          <w:szCs w:val="20"/>
          <w:lang w:val="de-AT" w:eastAsia="de-AT"/>
        </w:rPr>
        <w:lastRenderedPageBreak/>
        <w:drawing>
          <wp:inline distT="0" distB="0" distL="0" distR="0">
            <wp:extent cx="1828800" cy="2665095"/>
            <wp:effectExtent l="0" t="0" r="0" b="1905"/>
            <wp:docPr id="4" name="Grafik 4" descr="115a59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115a593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828800" cy="2665095"/>
                    </a:xfrm>
                    <a:prstGeom prst="rect">
                      <a:avLst/>
                    </a:prstGeom>
                    <a:noFill/>
                    <a:ln>
                      <a:noFill/>
                    </a:ln>
                  </pic:spPr>
                </pic:pic>
              </a:graphicData>
            </a:graphic>
          </wp:inline>
        </w:drawing>
      </w:r>
    </w:p>
    <w:p w:rsidR="006B7E9F" w:rsidRDefault="006B7E9F" w:rsidP="006B7E9F">
      <w:pPr>
        <w:rPr>
          <w:rFonts w:cs="Arial"/>
          <w:i/>
          <w:sz w:val="18"/>
          <w:szCs w:val="20"/>
        </w:rPr>
      </w:pPr>
    </w:p>
    <w:p w:rsidR="006B7E9F" w:rsidRPr="002E4DA6" w:rsidRDefault="00EB1373" w:rsidP="006B7E9F">
      <w:pPr>
        <w:rPr>
          <w:rFonts w:cs="Arial"/>
          <w:i/>
          <w:sz w:val="18"/>
          <w:szCs w:val="20"/>
        </w:rPr>
      </w:pPr>
      <w:r>
        <w:rPr>
          <w:rFonts w:cs="Arial"/>
          <w:i/>
          <w:sz w:val="18"/>
          <w:szCs w:val="20"/>
        </w:rPr>
        <w:t>Imagen 5</w:t>
      </w:r>
      <w:r w:rsidR="006B7E9F" w:rsidRPr="00D806C1">
        <w:rPr>
          <w:rFonts w:cs="Arial"/>
          <w:i/>
          <w:sz w:val="18"/>
          <w:szCs w:val="20"/>
        </w:rPr>
        <w:t xml:space="preserve">: </w:t>
      </w:r>
      <w:r w:rsidR="00802136" w:rsidRPr="00802136">
        <w:rPr>
          <w:rFonts w:cs="Arial"/>
          <w:i/>
          <w:sz w:val="18"/>
          <w:szCs w:val="20"/>
        </w:rPr>
        <w:t>Calderas macizas fabricadas a base de uniones en blanco y negro.</w:t>
      </w:r>
    </w:p>
    <w:p w:rsidR="006B7E9F" w:rsidRPr="002E4DA6" w:rsidRDefault="006B7E9F" w:rsidP="006B7E9F">
      <w:pPr>
        <w:rPr>
          <w:rFonts w:cs="Arial"/>
          <w:i/>
          <w:sz w:val="18"/>
          <w:szCs w:val="20"/>
        </w:rPr>
      </w:pPr>
    </w:p>
    <w:p w:rsidR="006B7E9F" w:rsidRDefault="006B7E9F" w:rsidP="006B7E9F">
      <w:pPr>
        <w:rPr>
          <w:rFonts w:cs="Arial"/>
          <w:b/>
          <w:szCs w:val="20"/>
        </w:rPr>
      </w:pPr>
      <w:r w:rsidRPr="0056791E">
        <w:rPr>
          <w:rFonts w:cs="Arial"/>
          <w:b/>
          <w:noProof/>
          <w:szCs w:val="20"/>
          <w:lang w:val="de-AT" w:eastAsia="de-AT"/>
        </w:rPr>
        <w:drawing>
          <wp:inline distT="0" distB="0" distL="0" distR="0" wp14:anchorId="430F48FD" wp14:editId="3C6FE408">
            <wp:extent cx="1973580" cy="2956560"/>
            <wp:effectExtent l="0" t="0" r="762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73580" cy="2956560"/>
                    </a:xfrm>
                    <a:prstGeom prst="rect">
                      <a:avLst/>
                    </a:prstGeom>
                    <a:noFill/>
                    <a:ln>
                      <a:noFill/>
                    </a:ln>
                  </pic:spPr>
                </pic:pic>
              </a:graphicData>
            </a:graphic>
          </wp:inline>
        </w:drawing>
      </w:r>
    </w:p>
    <w:p w:rsidR="006B7E9F" w:rsidRDefault="006B7E9F" w:rsidP="006B7E9F">
      <w:pPr>
        <w:rPr>
          <w:rFonts w:cs="Arial"/>
          <w:i/>
          <w:sz w:val="18"/>
          <w:szCs w:val="20"/>
        </w:rPr>
      </w:pPr>
    </w:p>
    <w:p w:rsidR="006B7E9F" w:rsidRDefault="00EB1373" w:rsidP="006B7E9F">
      <w:pPr>
        <w:rPr>
          <w:rFonts w:cs="Arial"/>
          <w:i/>
          <w:sz w:val="18"/>
          <w:szCs w:val="20"/>
        </w:rPr>
      </w:pPr>
      <w:r>
        <w:rPr>
          <w:rFonts w:cs="Arial"/>
          <w:i/>
          <w:sz w:val="18"/>
          <w:szCs w:val="20"/>
        </w:rPr>
        <w:t>Imagen 6</w:t>
      </w:r>
      <w:r w:rsidR="006B7E9F" w:rsidRPr="00D806C1">
        <w:rPr>
          <w:rFonts w:cs="Arial"/>
          <w:i/>
          <w:sz w:val="18"/>
          <w:szCs w:val="20"/>
        </w:rPr>
        <w:t xml:space="preserve">: </w:t>
      </w:r>
      <w:r w:rsidR="00802136" w:rsidRPr="00802136">
        <w:rPr>
          <w:rFonts w:cs="Arial"/>
          <w:i/>
          <w:sz w:val="18"/>
          <w:szCs w:val="20"/>
        </w:rPr>
        <w:t xml:space="preserve">El sistema de soldadura que </w:t>
      </w:r>
      <w:proofErr w:type="spellStart"/>
      <w:r w:rsidR="00802136" w:rsidRPr="00802136">
        <w:rPr>
          <w:rFonts w:cs="Arial"/>
          <w:i/>
          <w:sz w:val="18"/>
          <w:szCs w:val="20"/>
        </w:rPr>
        <w:t>Guntamatic</w:t>
      </w:r>
      <w:proofErr w:type="spellEnd"/>
      <w:r w:rsidR="00802136" w:rsidRPr="00802136">
        <w:rPr>
          <w:rFonts w:cs="Arial"/>
          <w:i/>
          <w:sz w:val="18"/>
          <w:szCs w:val="20"/>
        </w:rPr>
        <w:t xml:space="preserve"> ha implementado para renovar su área de soldadura manual: Fronius TransSteel 4000 Pulse.</w:t>
      </w:r>
    </w:p>
    <w:p w:rsidR="006B7E9F" w:rsidRDefault="006B7E9F" w:rsidP="006B7E9F">
      <w:pPr>
        <w:rPr>
          <w:rFonts w:cs="Arial"/>
          <w:i/>
          <w:sz w:val="18"/>
          <w:szCs w:val="20"/>
        </w:rPr>
      </w:pPr>
    </w:p>
    <w:p w:rsidR="006B7E9F" w:rsidRDefault="006B7E9F" w:rsidP="006B7E9F">
      <w:pPr>
        <w:rPr>
          <w:rFonts w:cs="Arial"/>
          <w:i/>
          <w:sz w:val="18"/>
          <w:szCs w:val="20"/>
        </w:rPr>
      </w:pPr>
    </w:p>
    <w:p w:rsidR="006B7E9F" w:rsidRPr="00053FB8" w:rsidRDefault="006B7E9F" w:rsidP="006B7E9F">
      <w:pPr>
        <w:rPr>
          <w:rFonts w:cs="Arial"/>
          <w:i/>
          <w:sz w:val="18"/>
          <w:szCs w:val="20"/>
        </w:rPr>
      </w:pPr>
    </w:p>
    <w:p w:rsidR="006B7E9F" w:rsidRPr="003E6A38" w:rsidRDefault="006B7E9F" w:rsidP="006B7E9F">
      <w:pPr>
        <w:rPr>
          <w:rFonts w:cs="Arial"/>
          <w:i/>
          <w:sz w:val="18"/>
          <w:szCs w:val="20"/>
        </w:rPr>
      </w:pPr>
      <w:r>
        <w:rPr>
          <w:rFonts w:cs="Arial"/>
          <w:b/>
          <w:noProof/>
          <w:szCs w:val="20"/>
          <w:lang w:val="de-AT" w:eastAsia="de-AT"/>
        </w:rPr>
        <w:lastRenderedPageBreak/>
        <w:drawing>
          <wp:inline distT="0" distB="0" distL="0" distR="0">
            <wp:extent cx="1828800" cy="2743200"/>
            <wp:effectExtent l="0" t="0" r="0" b="0"/>
            <wp:docPr id="3" name="Grafik 3" descr="115A6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115A613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828800" cy="2743200"/>
                    </a:xfrm>
                    <a:prstGeom prst="rect">
                      <a:avLst/>
                    </a:prstGeom>
                    <a:noFill/>
                    <a:ln>
                      <a:noFill/>
                    </a:ln>
                  </pic:spPr>
                </pic:pic>
              </a:graphicData>
            </a:graphic>
          </wp:inline>
        </w:drawing>
      </w:r>
    </w:p>
    <w:p w:rsidR="006B7E9F" w:rsidRDefault="006B7E9F" w:rsidP="006B7E9F">
      <w:pPr>
        <w:rPr>
          <w:rFonts w:cs="Arial"/>
          <w:i/>
          <w:sz w:val="18"/>
          <w:szCs w:val="20"/>
        </w:rPr>
      </w:pPr>
    </w:p>
    <w:p w:rsidR="00E03C0D" w:rsidRPr="00C724A2" w:rsidRDefault="00EB1373" w:rsidP="006B7E9F">
      <w:pPr>
        <w:rPr>
          <w:rFonts w:cs="Arial"/>
          <w:szCs w:val="20"/>
        </w:rPr>
      </w:pPr>
      <w:r>
        <w:rPr>
          <w:rFonts w:cs="Arial"/>
          <w:i/>
          <w:sz w:val="18"/>
          <w:szCs w:val="20"/>
        </w:rPr>
        <w:t>Imagen 7</w:t>
      </w:r>
      <w:r w:rsidR="006B7E9F" w:rsidRPr="00D806C1">
        <w:rPr>
          <w:rFonts w:cs="Arial"/>
          <w:i/>
          <w:sz w:val="18"/>
          <w:szCs w:val="20"/>
        </w:rPr>
        <w:t xml:space="preserve">: </w:t>
      </w:r>
      <w:proofErr w:type="spellStart"/>
      <w:r w:rsidR="00802136" w:rsidRPr="00802136">
        <w:rPr>
          <w:rFonts w:cs="Arial"/>
          <w:i/>
          <w:sz w:val="18"/>
          <w:szCs w:val="20"/>
        </w:rPr>
        <w:t>Roland</w:t>
      </w:r>
      <w:proofErr w:type="spellEnd"/>
      <w:r w:rsidR="00802136" w:rsidRPr="00802136">
        <w:rPr>
          <w:rFonts w:cs="Arial"/>
          <w:i/>
          <w:sz w:val="18"/>
          <w:szCs w:val="20"/>
        </w:rPr>
        <w:t xml:space="preserve"> </w:t>
      </w:r>
      <w:proofErr w:type="spellStart"/>
      <w:r w:rsidR="00802136" w:rsidRPr="00802136">
        <w:rPr>
          <w:rFonts w:cs="Arial"/>
          <w:i/>
          <w:sz w:val="18"/>
          <w:szCs w:val="20"/>
        </w:rPr>
        <w:t>Fellinger</w:t>
      </w:r>
      <w:proofErr w:type="spellEnd"/>
      <w:r w:rsidR="00802136" w:rsidRPr="00802136">
        <w:rPr>
          <w:rFonts w:cs="Arial"/>
          <w:i/>
          <w:sz w:val="18"/>
          <w:szCs w:val="20"/>
        </w:rPr>
        <w:t xml:space="preserve">, Maestro artesano y Supervisor de soldadura en </w:t>
      </w:r>
      <w:proofErr w:type="spellStart"/>
      <w:r w:rsidR="00802136" w:rsidRPr="00802136">
        <w:rPr>
          <w:rFonts w:cs="Arial"/>
          <w:i/>
          <w:sz w:val="18"/>
          <w:szCs w:val="20"/>
        </w:rPr>
        <w:t>Guntamatic</w:t>
      </w:r>
      <w:proofErr w:type="spellEnd"/>
      <w:r w:rsidR="00802136" w:rsidRPr="00802136">
        <w:rPr>
          <w:rFonts w:cs="Arial"/>
          <w:i/>
          <w:sz w:val="18"/>
          <w:szCs w:val="20"/>
        </w:rPr>
        <w:t>.</w:t>
      </w:r>
    </w:p>
    <w:p w:rsidR="006B7E9F" w:rsidRDefault="006B7E9F" w:rsidP="005074D0">
      <w:pPr>
        <w:rPr>
          <w:rFonts w:cs="Arial"/>
          <w:b/>
          <w:szCs w:val="20"/>
        </w:rPr>
      </w:pPr>
    </w:p>
    <w:p w:rsidR="006B7E9F" w:rsidRDefault="006B7E9F" w:rsidP="005074D0">
      <w:pPr>
        <w:rPr>
          <w:rFonts w:cs="Arial"/>
          <w:b/>
          <w:szCs w:val="20"/>
        </w:rPr>
      </w:pPr>
    </w:p>
    <w:p w:rsidR="005074D0" w:rsidRDefault="005074D0" w:rsidP="005074D0">
      <w:pPr>
        <w:rPr>
          <w:rFonts w:cs="Arial"/>
          <w:szCs w:val="20"/>
        </w:rPr>
      </w:pPr>
      <w:r>
        <w:rPr>
          <w:rFonts w:cs="Arial"/>
          <w:szCs w:val="20"/>
        </w:rPr>
        <w:t>Copyright de las fotografías: Fronius International GmbH, reproducción sin costo</w:t>
      </w:r>
    </w:p>
    <w:p w:rsidR="005074D0" w:rsidRDefault="005074D0" w:rsidP="005074D0">
      <w:pPr>
        <w:rPr>
          <w:rFonts w:cs="Arial"/>
          <w:szCs w:val="20"/>
        </w:rPr>
      </w:pPr>
    </w:p>
    <w:p w:rsidR="005074D0" w:rsidRDefault="005074D0" w:rsidP="005074D0">
      <w:pPr>
        <w:rPr>
          <w:rFonts w:cs="Arial"/>
          <w:szCs w:val="20"/>
        </w:rPr>
      </w:pPr>
      <w:r>
        <w:rPr>
          <w:rFonts w:cs="Arial"/>
          <w:szCs w:val="20"/>
        </w:rPr>
        <w:t>Imágenes de alta resolución están disponibles para descargar del siguiente enlace:</w:t>
      </w:r>
    </w:p>
    <w:p w:rsidR="005074D0" w:rsidRDefault="00C20A11" w:rsidP="005074D0">
      <w:pPr>
        <w:rPr>
          <w:rFonts w:cs="Arial"/>
          <w:szCs w:val="20"/>
        </w:rPr>
      </w:pPr>
      <w:hyperlink r:id="rId17" w:history="1">
        <w:r w:rsidR="005074D0">
          <w:rPr>
            <w:rStyle w:val="Hyperlink"/>
            <w:rFonts w:cs="Arial"/>
            <w:bCs/>
            <w:iCs/>
            <w:snapToGrid w:val="0"/>
            <w:szCs w:val="20"/>
            <w:lang w:val="pt-BR"/>
          </w:rPr>
          <w:t>www.fronius.com/en/welding-technology/infocentre/press</w:t>
        </w:r>
      </w:hyperlink>
    </w:p>
    <w:p w:rsidR="005074D0" w:rsidRDefault="005074D0" w:rsidP="005074D0">
      <w:pPr>
        <w:rPr>
          <w:rFonts w:cs="Arial"/>
          <w:b/>
          <w:szCs w:val="20"/>
        </w:rPr>
      </w:pPr>
    </w:p>
    <w:p w:rsidR="005074D0" w:rsidRDefault="005074D0" w:rsidP="005074D0">
      <w:pPr>
        <w:rPr>
          <w:rFonts w:cs="Arial"/>
          <w:b/>
          <w:szCs w:val="20"/>
        </w:rPr>
      </w:pPr>
    </w:p>
    <w:p w:rsidR="006B7E9F" w:rsidRDefault="006B7E9F" w:rsidP="005074D0">
      <w:pPr>
        <w:rPr>
          <w:rFonts w:cs="Arial"/>
          <w:b/>
          <w:szCs w:val="20"/>
        </w:rPr>
      </w:pPr>
    </w:p>
    <w:p w:rsidR="006B7E9F" w:rsidRDefault="006B7E9F" w:rsidP="005074D0">
      <w:pPr>
        <w:rPr>
          <w:rFonts w:cs="Arial"/>
          <w:b/>
          <w:szCs w:val="20"/>
        </w:rPr>
      </w:pPr>
    </w:p>
    <w:p w:rsidR="006B7E9F" w:rsidRDefault="006B7E9F" w:rsidP="005074D0">
      <w:pPr>
        <w:rPr>
          <w:rFonts w:cs="Arial"/>
          <w:b/>
          <w:szCs w:val="20"/>
        </w:rPr>
      </w:pPr>
    </w:p>
    <w:p w:rsidR="006B7E9F" w:rsidRDefault="006B7E9F" w:rsidP="005074D0">
      <w:pPr>
        <w:rPr>
          <w:rFonts w:cs="Arial"/>
          <w:b/>
          <w:szCs w:val="20"/>
        </w:rPr>
      </w:pPr>
    </w:p>
    <w:p w:rsidR="006B7E9F" w:rsidRDefault="006B7E9F" w:rsidP="005074D0">
      <w:pPr>
        <w:rPr>
          <w:rFonts w:cs="Arial"/>
          <w:b/>
          <w:szCs w:val="20"/>
        </w:rPr>
      </w:pPr>
    </w:p>
    <w:p w:rsidR="005074D0" w:rsidRDefault="005074D0" w:rsidP="005074D0">
      <w:pPr>
        <w:rPr>
          <w:rFonts w:cs="Arial"/>
          <w:szCs w:val="20"/>
        </w:rPr>
      </w:pPr>
      <w:r>
        <w:rPr>
          <w:rFonts w:cs="Arial"/>
          <w:b/>
          <w:szCs w:val="20"/>
        </w:rPr>
        <w:t>Unidad de Negocio Perfect Welding</w:t>
      </w:r>
    </w:p>
    <w:p w:rsidR="005074D0" w:rsidRDefault="005074D0" w:rsidP="005074D0">
      <w:pPr>
        <w:rPr>
          <w:rFonts w:cs="Arial"/>
          <w:szCs w:val="20"/>
        </w:rPr>
      </w:pPr>
      <w:r>
        <w:rPr>
          <w:rFonts w:cs="Arial"/>
          <w:szCs w:val="20"/>
        </w:rPr>
        <w:t xml:space="preserve">Fronius Perfect Welding es el líder en innovación para soldadura por arco voltaico, y es líder en el mercado global para soldadura robótica. Como proveedor de Sistemas. Fronius </w:t>
      </w:r>
      <w:proofErr w:type="spellStart"/>
      <w:r>
        <w:rPr>
          <w:rFonts w:cs="Arial"/>
          <w:szCs w:val="20"/>
        </w:rPr>
        <w:t>welding</w:t>
      </w:r>
      <w:proofErr w:type="spellEnd"/>
      <w:r>
        <w:rPr>
          <w:rFonts w:cs="Arial"/>
          <w:szCs w:val="20"/>
        </w:rPr>
        <w:t xml:space="preserve"> </w:t>
      </w:r>
      <w:proofErr w:type="spellStart"/>
      <w:r>
        <w:rPr>
          <w:rFonts w:cs="Arial"/>
          <w:szCs w:val="20"/>
        </w:rPr>
        <w:t>automation</w:t>
      </w:r>
      <w:proofErr w:type="spellEnd"/>
      <w:r>
        <w:rPr>
          <w:rFonts w:cs="Arial"/>
          <w:szCs w:val="20"/>
        </w:rPr>
        <w:t xml:space="preserve"> convierte las soluciones de soldadura automatizada específicas para el cliente en una realidad para diferentes áreas, desde la construcción de contenedores hasta el revestimiento para el sector offshore. Las fuentes de corriente para aplicaciones manuales, los accesorios de soldadura y un amplio rango de servicios adicionados a nuestra cartera. Con más de 1.000 distribuidores en todo el mundo, Fronius Perfect Welding siempre está cerca de sus clientes. </w:t>
      </w:r>
    </w:p>
    <w:p w:rsidR="005074D0" w:rsidRDefault="005074D0" w:rsidP="005074D0">
      <w:pPr>
        <w:rPr>
          <w:rFonts w:cs="Arial"/>
          <w:b/>
          <w:szCs w:val="20"/>
        </w:rPr>
      </w:pPr>
    </w:p>
    <w:p w:rsidR="005074D0" w:rsidRDefault="005074D0" w:rsidP="005074D0">
      <w:pPr>
        <w:rPr>
          <w:rFonts w:cs="Arial"/>
          <w:b/>
          <w:szCs w:val="20"/>
        </w:rPr>
      </w:pPr>
      <w:r>
        <w:rPr>
          <w:rFonts w:cs="Arial"/>
          <w:b/>
          <w:szCs w:val="20"/>
        </w:rPr>
        <w:t>Fronius International GmbH</w:t>
      </w:r>
    </w:p>
    <w:p w:rsidR="005074D0" w:rsidRDefault="005074D0" w:rsidP="005074D0">
      <w:pPr>
        <w:rPr>
          <w:rFonts w:cs="Arial"/>
          <w:szCs w:val="20"/>
        </w:rPr>
      </w:pPr>
      <w:r>
        <w:rPr>
          <w:rFonts w:cs="Arial"/>
          <w:szCs w:val="20"/>
        </w:rPr>
        <w:t xml:space="preserve">Fronius International GmbH es una empresa austriaca con sede en Pettenbach e instalaciones en Wels, </w:t>
      </w:r>
      <w:proofErr w:type="spellStart"/>
      <w:r>
        <w:rPr>
          <w:rFonts w:cs="Arial"/>
          <w:szCs w:val="20"/>
        </w:rPr>
        <w:t>Thalheim</w:t>
      </w:r>
      <w:proofErr w:type="spellEnd"/>
      <w:r>
        <w:rPr>
          <w:rFonts w:cs="Arial"/>
          <w:szCs w:val="20"/>
        </w:rPr>
        <w:t xml:space="preserve">, </w:t>
      </w:r>
      <w:proofErr w:type="spellStart"/>
      <w:r>
        <w:rPr>
          <w:rFonts w:cs="Arial"/>
          <w:szCs w:val="20"/>
        </w:rPr>
        <w:t>Steinhaus</w:t>
      </w:r>
      <w:proofErr w:type="spellEnd"/>
      <w:r>
        <w:rPr>
          <w:rFonts w:cs="Arial"/>
          <w:szCs w:val="20"/>
        </w:rPr>
        <w:t xml:space="preserve"> y Sattledt. La empresa con sus </w:t>
      </w:r>
      <w:r w:rsidR="00EB571E">
        <w:rPr>
          <w:rFonts w:cs="Arial"/>
          <w:szCs w:val="20"/>
          <w:lang w:val="en-US"/>
        </w:rPr>
        <w:t>5.66</w:t>
      </w:r>
      <w:r>
        <w:rPr>
          <w:rFonts w:cs="Arial"/>
          <w:szCs w:val="20"/>
          <w:lang w:val="en-US"/>
        </w:rPr>
        <w:t>0</w:t>
      </w:r>
      <w:r>
        <w:rPr>
          <w:rFonts w:cs="Arial"/>
          <w:szCs w:val="20"/>
        </w:rPr>
        <w:t xml:space="preserve"> empleados a nivel global se dedica a los sectores de tecnología de soldadura, fotovoltaica y tecnología de carga de baterías. El porcentaje de exportación es de apro</w:t>
      </w:r>
      <w:r w:rsidR="00EB571E">
        <w:rPr>
          <w:rFonts w:cs="Arial"/>
          <w:szCs w:val="20"/>
        </w:rPr>
        <w:t>ximadamente el 92</w:t>
      </w:r>
      <w:r>
        <w:rPr>
          <w:rFonts w:cs="Arial"/>
          <w:szCs w:val="20"/>
        </w:rPr>
        <w:t xml:space="preserve"> por cient</w:t>
      </w:r>
      <w:r w:rsidR="00EB571E">
        <w:rPr>
          <w:rFonts w:cs="Arial"/>
          <w:szCs w:val="20"/>
        </w:rPr>
        <w:t>o y se consigue gracias a las 36</w:t>
      </w:r>
      <w:r>
        <w:rPr>
          <w:rFonts w:cs="Arial"/>
          <w:szCs w:val="20"/>
        </w:rPr>
        <w:t xml:space="preserve"> sociedades internacionales de Fronius y distribuidores/representantes en más de 60 países. Fronius es líder en innovación en el mercado mundial gracias a sus productos innovadores y servicios, así como a las 1.</w:t>
      </w:r>
      <w:r w:rsidR="00EB571E">
        <w:rPr>
          <w:rFonts w:cs="Arial"/>
          <w:szCs w:val="20"/>
        </w:rPr>
        <w:t>321</w:t>
      </w:r>
      <w:r w:rsidR="0001149D" w:rsidRPr="00EB571E">
        <w:rPr>
          <w:rFonts w:cs="Arial"/>
          <w:szCs w:val="20"/>
          <w:lang w:val="en-US"/>
        </w:rPr>
        <w:t xml:space="preserve"> </w:t>
      </w:r>
      <w:r>
        <w:rPr>
          <w:rFonts w:cs="Arial"/>
          <w:szCs w:val="20"/>
        </w:rPr>
        <w:t>patentes concedidas.</w:t>
      </w:r>
    </w:p>
    <w:p w:rsidR="005074D0" w:rsidRDefault="005074D0" w:rsidP="005074D0">
      <w:pPr>
        <w:pStyle w:val="Textkrper2"/>
        <w:spacing w:after="0" w:line="240" w:lineRule="auto"/>
        <w:ind w:right="-254"/>
        <w:rPr>
          <w:rFonts w:cs="Arial"/>
          <w:szCs w:val="20"/>
        </w:rPr>
      </w:pPr>
    </w:p>
    <w:p w:rsidR="005074D0" w:rsidRDefault="005074D0" w:rsidP="005074D0">
      <w:pPr>
        <w:pStyle w:val="Textkrper2"/>
        <w:spacing w:after="0" w:line="240" w:lineRule="auto"/>
        <w:ind w:right="-254"/>
        <w:rPr>
          <w:rFonts w:cs="Arial"/>
          <w:i/>
          <w:iCs/>
          <w:szCs w:val="20"/>
        </w:rPr>
      </w:pPr>
    </w:p>
    <w:p w:rsidR="005074D0" w:rsidRDefault="005074D0" w:rsidP="005074D0">
      <w:pPr>
        <w:pStyle w:val="Textkrper2"/>
        <w:spacing w:after="0" w:line="240" w:lineRule="auto"/>
        <w:ind w:right="-254"/>
        <w:rPr>
          <w:rFonts w:cs="Arial"/>
          <w:i/>
          <w:iCs/>
          <w:szCs w:val="20"/>
        </w:rPr>
      </w:pPr>
    </w:p>
    <w:p w:rsidR="005074D0" w:rsidRDefault="005074D0" w:rsidP="005074D0">
      <w:pPr>
        <w:autoSpaceDE w:val="0"/>
        <w:autoSpaceDN w:val="0"/>
        <w:adjustRightInd w:val="0"/>
        <w:rPr>
          <w:rFonts w:cs="Arial"/>
          <w:szCs w:val="20"/>
        </w:rPr>
      </w:pPr>
      <w:r>
        <w:rPr>
          <w:rFonts w:cs="Arial"/>
          <w:b/>
          <w:iCs/>
          <w:noProof/>
          <w:szCs w:val="20"/>
        </w:rPr>
        <w:t>Para más información, por favor diríjase al:</w:t>
      </w:r>
      <w:r>
        <w:rPr>
          <w:rFonts w:cs="Arial"/>
          <w:b/>
          <w:iCs/>
          <w:szCs w:val="20"/>
        </w:rPr>
        <w:br/>
      </w:r>
      <w:r>
        <w:rPr>
          <w:rFonts w:cs="Arial"/>
          <w:szCs w:val="20"/>
        </w:rPr>
        <w:t>Fronius España S.L.U., Laura González</w:t>
      </w:r>
    </w:p>
    <w:p w:rsidR="005074D0" w:rsidRDefault="005074D0" w:rsidP="005074D0">
      <w:pPr>
        <w:autoSpaceDE w:val="0"/>
        <w:autoSpaceDN w:val="0"/>
        <w:adjustRightInd w:val="0"/>
        <w:rPr>
          <w:rFonts w:cs="Arial"/>
          <w:szCs w:val="20"/>
        </w:rPr>
      </w:pPr>
      <w:r>
        <w:rPr>
          <w:rFonts w:cs="Arial"/>
          <w:szCs w:val="20"/>
        </w:rPr>
        <w:t xml:space="preserve">Parque Empresarial La </w:t>
      </w:r>
      <w:proofErr w:type="spellStart"/>
      <w:r>
        <w:rPr>
          <w:rFonts w:cs="Arial"/>
          <w:szCs w:val="20"/>
        </w:rPr>
        <w:t>Carpetania</w:t>
      </w:r>
      <w:proofErr w:type="spellEnd"/>
      <w:r>
        <w:rPr>
          <w:rFonts w:cs="Arial"/>
          <w:szCs w:val="20"/>
        </w:rPr>
        <w:t>, c/ Miguel Faraday 2, 28906, Getafe (Madrid)</w:t>
      </w:r>
    </w:p>
    <w:p w:rsidR="005074D0" w:rsidRDefault="006307FB" w:rsidP="005074D0">
      <w:pPr>
        <w:autoSpaceDE w:val="0"/>
        <w:autoSpaceDN w:val="0"/>
        <w:adjustRightInd w:val="0"/>
        <w:rPr>
          <w:rFonts w:cs="Arial"/>
          <w:szCs w:val="20"/>
        </w:rPr>
      </w:pPr>
      <w:r>
        <w:rPr>
          <w:rFonts w:cs="Arial"/>
          <w:szCs w:val="20"/>
        </w:rPr>
        <w:t>Tel.:+34 91 649 60 40; Fax:+34 91</w:t>
      </w:r>
      <w:r w:rsidR="005074D0">
        <w:rPr>
          <w:rFonts w:cs="Arial"/>
          <w:szCs w:val="20"/>
        </w:rPr>
        <w:t xml:space="preserve"> 649 60 44</w:t>
      </w:r>
    </w:p>
    <w:p w:rsidR="005074D0" w:rsidRDefault="005074D0" w:rsidP="005074D0">
      <w:pPr>
        <w:autoSpaceDE w:val="0"/>
        <w:autoSpaceDN w:val="0"/>
        <w:adjustRightInd w:val="0"/>
        <w:rPr>
          <w:rFonts w:cs="Arial"/>
          <w:szCs w:val="20"/>
        </w:rPr>
      </w:pPr>
      <w:r>
        <w:rPr>
          <w:rFonts w:cs="Arial"/>
          <w:szCs w:val="20"/>
        </w:rPr>
        <w:t xml:space="preserve">Correo electrónico: </w:t>
      </w:r>
      <w:hyperlink r:id="rId18" w:history="1">
        <w:r>
          <w:rPr>
            <w:rStyle w:val="Hyperlink"/>
            <w:rFonts w:cs="Arial"/>
            <w:szCs w:val="20"/>
          </w:rPr>
          <w:t>gonzalez.laura@fronius.com</w:t>
        </w:r>
      </w:hyperlink>
    </w:p>
    <w:p w:rsidR="005074D0" w:rsidRDefault="005074D0" w:rsidP="005074D0">
      <w:pPr>
        <w:autoSpaceDE w:val="0"/>
        <w:autoSpaceDN w:val="0"/>
        <w:adjustRightInd w:val="0"/>
        <w:rPr>
          <w:rFonts w:cs="Arial"/>
          <w:szCs w:val="20"/>
        </w:rPr>
      </w:pPr>
    </w:p>
    <w:p w:rsidR="005074D0" w:rsidRDefault="005074D0" w:rsidP="005074D0">
      <w:pPr>
        <w:autoSpaceDE w:val="0"/>
        <w:autoSpaceDN w:val="0"/>
        <w:adjustRightInd w:val="0"/>
        <w:rPr>
          <w:rFonts w:cs="Arial"/>
          <w:szCs w:val="20"/>
        </w:rPr>
      </w:pPr>
    </w:p>
    <w:p w:rsidR="005074D0" w:rsidRDefault="005074D0" w:rsidP="005074D0">
      <w:pPr>
        <w:autoSpaceDE w:val="0"/>
        <w:autoSpaceDN w:val="0"/>
        <w:adjustRightInd w:val="0"/>
        <w:rPr>
          <w:rFonts w:cs="Arial"/>
          <w:color w:val="000000"/>
          <w:szCs w:val="20"/>
        </w:rPr>
      </w:pPr>
    </w:p>
    <w:p w:rsidR="005074D0" w:rsidRDefault="005074D0" w:rsidP="005074D0">
      <w:pPr>
        <w:pStyle w:val="Textkrper2"/>
        <w:spacing w:after="0" w:line="240" w:lineRule="auto"/>
        <w:ind w:right="29"/>
        <w:rPr>
          <w:rFonts w:cs="Arial"/>
          <w:b/>
          <w:szCs w:val="20"/>
        </w:rPr>
      </w:pPr>
      <w:r>
        <w:rPr>
          <w:rFonts w:cs="Arial"/>
          <w:b/>
          <w:szCs w:val="20"/>
        </w:rPr>
        <w:t>Por favor, envíe un ejemplar de prueba a nuestra agencia:</w:t>
      </w:r>
    </w:p>
    <w:p w:rsidR="005074D0" w:rsidRDefault="005074D0" w:rsidP="005074D0">
      <w:pPr>
        <w:pStyle w:val="Textkrper2"/>
        <w:spacing w:after="0" w:line="240" w:lineRule="auto"/>
        <w:ind w:right="29"/>
        <w:rPr>
          <w:rFonts w:cs="Arial"/>
          <w:szCs w:val="20"/>
          <w:lang w:val="de-DE"/>
        </w:rPr>
      </w:pPr>
      <w:r>
        <w:rPr>
          <w:rFonts w:cs="Arial"/>
          <w:szCs w:val="20"/>
          <w:lang w:val="de-DE"/>
        </w:rPr>
        <w:t>a1kommunikation Schweizer GmbH, Señora Kirsten Ludwig,</w:t>
      </w:r>
    </w:p>
    <w:p w:rsidR="005074D0" w:rsidRDefault="006307FB" w:rsidP="005074D0">
      <w:pPr>
        <w:pStyle w:val="Textkrper2"/>
        <w:spacing w:after="0" w:line="240" w:lineRule="auto"/>
        <w:ind w:right="29"/>
        <w:rPr>
          <w:rFonts w:cs="Arial"/>
          <w:szCs w:val="20"/>
        </w:rPr>
      </w:pPr>
      <w:proofErr w:type="spellStart"/>
      <w:r>
        <w:rPr>
          <w:rFonts w:cs="Arial"/>
          <w:szCs w:val="20"/>
        </w:rPr>
        <w:t>Oberdorfstraße</w:t>
      </w:r>
      <w:proofErr w:type="spellEnd"/>
      <w:r>
        <w:rPr>
          <w:rFonts w:cs="Arial"/>
          <w:szCs w:val="20"/>
        </w:rPr>
        <w:t xml:space="preserve"> 31 A, </w:t>
      </w:r>
      <w:r w:rsidR="005074D0">
        <w:rPr>
          <w:rFonts w:cs="Arial"/>
          <w:szCs w:val="20"/>
        </w:rPr>
        <w:t xml:space="preserve">70794 </w:t>
      </w:r>
      <w:proofErr w:type="spellStart"/>
      <w:r w:rsidR="005074D0">
        <w:rPr>
          <w:rFonts w:cs="Arial"/>
          <w:szCs w:val="20"/>
        </w:rPr>
        <w:t>Filderstadt</w:t>
      </w:r>
      <w:proofErr w:type="spellEnd"/>
      <w:r w:rsidR="005074D0">
        <w:rPr>
          <w:rFonts w:cs="Arial"/>
          <w:szCs w:val="20"/>
        </w:rPr>
        <w:t>,</w:t>
      </w:r>
      <w:r>
        <w:rPr>
          <w:rFonts w:cs="Arial"/>
          <w:szCs w:val="20"/>
        </w:rPr>
        <w:t xml:space="preserve"> </w:t>
      </w:r>
      <w:proofErr w:type="spellStart"/>
      <w:r>
        <w:rPr>
          <w:rFonts w:cs="Arial"/>
          <w:szCs w:val="20"/>
        </w:rPr>
        <w:t>Deutschland</w:t>
      </w:r>
      <w:proofErr w:type="spellEnd"/>
    </w:p>
    <w:p w:rsidR="005074D0" w:rsidRDefault="006307FB" w:rsidP="005074D0">
      <w:pPr>
        <w:rPr>
          <w:rFonts w:cs="Arial"/>
          <w:szCs w:val="20"/>
        </w:rPr>
      </w:pPr>
      <w:r>
        <w:rPr>
          <w:rFonts w:cs="Arial"/>
          <w:szCs w:val="20"/>
        </w:rPr>
        <w:t xml:space="preserve">tel.: +49 0 </w:t>
      </w:r>
      <w:r w:rsidR="005074D0">
        <w:rPr>
          <w:rFonts w:cs="Arial"/>
          <w:szCs w:val="20"/>
        </w:rPr>
        <w:t xml:space="preserve">711 9454161-20, correo electrónico: </w:t>
      </w:r>
      <w:hyperlink r:id="rId19" w:history="1">
        <w:r w:rsidRPr="00146DB1">
          <w:rPr>
            <w:rStyle w:val="Hyperlink"/>
            <w:rFonts w:cs="Arial"/>
            <w:szCs w:val="20"/>
          </w:rPr>
          <w:t>kirsten.ludwig@a1kommunikation.de</w:t>
        </w:r>
      </w:hyperlink>
    </w:p>
    <w:p w:rsidR="005074D0" w:rsidRDefault="005074D0" w:rsidP="005074D0">
      <w:pPr>
        <w:rPr>
          <w:rFonts w:cs="Arial"/>
        </w:rPr>
      </w:pPr>
    </w:p>
    <w:p w:rsidR="005074D0" w:rsidRDefault="005074D0" w:rsidP="005074D0">
      <w:pPr>
        <w:autoSpaceDE w:val="0"/>
        <w:autoSpaceDN w:val="0"/>
        <w:adjustRightInd w:val="0"/>
        <w:rPr>
          <w:rFonts w:cs="Arial"/>
          <w:szCs w:val="20"/>
        </w:rPr>
      </w:pPr>
    </w:p>
    <w:p w:rsidR="005074D0" w:rsidRDefault="005074D0" w:rsidP="005074D0">
      <w:pPr>
        <w:autoSpaceDE w:val="0"/>
        <w:autoSpaceDN w:val="0"/>
        <w:adjustRightInd w:val="0"/>
        <w:rPr>
          <w:rFonts w:cs="Arial"/>
          <w:szCs w:val="20"/>
        </w:rPr>
      </w:pPr>
      <w:r>
        <w:rPr>
          <w:rFonts w:cs="Arial"/>
          <w:szCs w:val="20"/>
        </w:rPr>
        <w:t>¡Para leer otros artículos interesantes, visite nuestro blog en blog.perfectwelding.fronius.com y síganos en Facebook (</w:t>
      </w:r>
      <w:proofErr w:type="spellStart"/>
      <w:r>
        <w:rPr>
          <w:rFonts w:cs="Arial"/>
          <w:szCs w:val="20"/>
        </w:rPr>
        <w:t>froniuswelding</w:t>
      </w:r>
      <w:proofErr w:type="spellEnd"/>
      <w:r>
        <w:rPr>
          <w:rFonts w:cs="Arial"/>
          <w:szCs w:val="20"/>
        </w:rPr>
        <w:t>), Twitter (</w:t>
      </w:r>
      <w:proofErr w:type="spellStart"/>
      <w:r>
        <w:rPr>
          <w:rFonts w:cs="Arial"/>
          <w:szCs w:val="20"/>
        </w:rPr>
        <w:t>froniusintweld</w:t>
      </w:r>
      <w:proofErr w:type="spellEnd"/>
      <w:r>
        <w:rPr>
          <w:rFonts w:cs="Arial"/>
          <w:szCs w:val="20"/>
        </w:rPr>
        <w:t>), LinkedIn (</w:t>
      </w:r>
      <w:proofErr w:type="spellStart"/>
      <w:r>
        <w:rPr>
          <w:rFonts w:cs="Arial"/>
          <w:szCs w:val="20"/>
        </w:rPr>
        <w:t>perfect-welding</w:t>
      </w:r>
      <w:proofErr w:type="spellEnd"/>
      <w:r>
        <w:rPr>
          <w:rFonts w:cs="Arial"/>
          <w:szCs w:val="20"/>
        </w:rPr>
        <w:t>), Instagram (</w:t>
      </w:r>
      <w:proofErr w:type="spellStart"/>
      <w:r>
        <w:rPr>
          <w:rFonts w:cs="Arial"/>
          <w:szCs w:val="20"/>
        </w:rPr>
        <w:t>froniuswelding</w:t>
      </w:r>
      <w:proofErr w:type="spellEnd"/>
      <w:r>
        <w:rPr>
          <w:rFonts w:cs="Arial"/>
          <w:szCs w:val="20"/>
        </w:rPr>
        <w:t>) y YouTube (</w:t>
      </w:r>
      <w:proofErr w:type="spellStart"/>
      <w:r>
        <w:rPr>
          <w:rFonts w:cs="Arial"/>
          <w:szCs w:val="20"/>
        </w:rPr>
        <w:t>froniuswelding</w:t>
      </w:r>
      <w:proofErr w:type="spellEnd"/>
      <w:r>
        <w:rPr>
          <w:rFonts w:cs="Arial"/>
          <w:szCs w:val="20"/>
        </w:rPr>
        <w:t>)!</w:t>
      </w:r>
    </w:p>
    <w:p w:rsidR="009E41CA" w:rsidRPr="00C724A2" w:rsidRDefault="009E41CA" w:rsidP="00851B46">
      <w:pPr>
        <w:autoSpaceDE w:val="0"/>
        <w:autoSpaceDN w:val="0"/>
        <w:adjustRightInd w:val="0"/>
        <w:rPr>
          <w:rFonts w:cs="Arial"/>
          <w:szCs w:val="20"/>
        </w:rPr>
      </w:pPr>
    </w:p>
    <w:sectPr w:rsidR="009E41CA" w:rsidRPr="00C724A2" w:rsidSect="00E03C0D">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B75F5" w:rsidRDefault="008B75F5" w:rsidP="00E03C0D">
      <w:r>
        <w:separator/>
      </w:r>
    </w:p>
  </w:endnote>
  <w:endnote w:type="continuationSeparator" w:id="0">
    <w:p w:rsidR="008B75F5" w:rsidRDefault="008B75F5" w:rsidP="00E03C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3C0D" w:rsidRPr="00E533E1" w:rsidRDefault="00E03C0D" w:rsidP="00E03C0D">
    <w:pPr>
      <w:tabs>
        <w:tab w:val="right" w:pos="10080"/>
      </w:tabs>
      <w:rPr>
        <w:sz w:val="16"/>
        <w:szCs w:val="16"/>
      </w:rPr>
    </w:pPr>
    <w:r>
      <w:rPr>
        <w:sz w:val="12"/>
      </w:rPr>
      <w:t>02/2018</w:t>
    </w:r>
    <w:r>
      <w:rPr>
        <w:sz w:val="16"/>
      </w:rPr>
      <w:tab/>
    </w:r>
    <w:r>
      <w:rPr>
        <w:sz w:val="16"/>
      </w:rPr>
      <w:fldChar w:fldCharType="begin"/>
    </w:r>
    <w:r>
      <w:rPr>
        <w:sz w:val="16"/>
      </w:rPr>
      <w:instrText xml:space="preserve"> PAGE </w:instrText>
    </w:r>
    <w:r>
      <w:rPr>
        <w:sz w:val="16"/>
      </w:rPr>
      <w:fldChar w:fldCharType="separate"/>
    </w:r>
    <w:r w:rsidR="00C20A11">
      <w:rPr>
        <w:noProof/>
        <w:sz w:val="16"/>
      </w:rPr>
      <w:t>7</w:t>
    </w:r>
    <w:r>
      <w:rPr>
        <w:sz w:val="16"/>
      </w:rPr>
      <w:fldChar w:fldCharType="end"/>
    </w:r>
    <w:r>
      <w:rPr>
        <w:sz w:val="16"/>
      </w:rPr>
      <w:t>/</w:t>
    </w:r>
    <w:r>
      <w:rPr>
        <w:sz w:val="16"/>
      </w:rPr>
      <w:fldChar w:fldCharType="begin"/>
    </w:r>
    <w:r>
      <w:rPr>
        <w:sz w:val="16"/>
      </w:rPr>
      <w:instrText xml:space="preserve"> NUMPAGES </w:instrText>
    </w:r>
    <w:r>
      <w:rPr>
        <w:sz w:val="16"/>
      </w:rPr>
      <w:fldChar w:fldCharType="separate"/>
    </w:r>
    <w:r w:rsidR="00C20A11">
      <w:rPr>
        <w:noProof/>
        <w:sz w:val="16"/>
      </w:rPr>
      <w:t>7</w:t>
    </w:r>
    <w:r>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B75F5" w:rsidRDefault="008B75F5" w:rsidP="00E03C0D">
      <w:r>
        <w:separator/>
      </w:r>
    </w:p>
  </w:footnote>
  <w:footnote w:type="continuationSeparator" w:id="0">
    <w:p w:rsidR="008B75F5" w:rsidRDefault="008B75F5" w:rsidP="00E03C0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3C0D" w:rsidRDefault="0074050F">
    <w:r>
      <w:rPr>
        <w:noProof/>
        <w:lang w:val="de-AT" w:eastAsia="de-AT"/>
      </w:rPr>
      <w:drawing>
        <wp:anchor distT="0" distB="0" distL="114300" distR="114300" simplePos="0" relativeHeight="251657728" behindDoc="1" locked="0" layoutInCell="1" allowOverlap="1">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CD24778A">
      <w:start w:val="1"/>
      <w:numFmt w:val="bullet"/>
      <w:lvlText w:val=""/>
      <w:lvlJc w:val="left"/>
      <w:pPr>
        <w:ind w:left="720" w:hanging="360"/>
      </w:pPr>
      <w:rPr>
        <w:rFonts w:ascii="Symbol" w:hAnsi="Symbol" w:hint="default"/>
      </w:rPr>
    </w:lvl>
    <w:lvl w:ilvl="1" w:tplc="6262CDDC" w:tentative="1">
      <w:start w:val="1"/>
      <w:numFmt w:val="bullet"/>
      <w:lvlText w:val="o"/>
      <w:lvlJc w:val="left"/>
      <w:pPr>
        <w:ind w:left="1440" w:hanging="360"/>
      </w:pPr>
      <w:rPr>
        <w:rFonts w:ascii="Courier New" w:hAnsi="Courier New" w:cs="Courier New" w:hint="default"/>
      </w:rPr>
    </w:lvl>
    <w:lvl w:ilvl="2" w:tplc="0128BFE6" w:tentative="1">
      <w:start w:val="1"/>
      <w:numFmt w:val="bullet"/>
      <w:lvlText w:val=""/>
      <w:lvlJc w:val="left"/>
      <w:pPr>
        <w:ind w:left="2160" w:hanging="360"/>
      </w:pPr>
      <w:rPr>
        <w:rFonts w:ascii="Wingdings" w:hAnsi="Wingdings" w:hint="default"/>
      </w:rPr>
    </w:lvl>
    <w:lvl w:ilvl="3" w:tplc="4B461EA4" w:tentative="1">
      <w:start w:val="1"/>
      <w:numFmt w:val="bullet"/>
      <w:lvlText w:val=""/>
      <w:lvlJc w:val="left"/>
      <w:pPr>
        <w:ind w:left="2880" w:hanging="360"/>
      </w:pPr>
      <w:rPr>
        <w:rFonts w:ascii="Symbol" w:hAnsi="Symbol" w:hint="default"/>
      </w:rPr>
    </w:lvl>
    <w:lvl w:ilvl="4" w:tplc="C494050A" w:tentative="1">
      <w:start w:val="1"/>
      <w:numFmt w:val="bullet"/>
      <w:lvlText w:val="o"/>
      <w:lvlJc w:val="left"/>
      <w:pPr>
        <w:ind w:left="3600" w:hanging="360"/>
      </w:pPr>
      <w:rPr>
        <w:rFonts w:ascii="Courier New" w:hAnsi="Courier New" w:cs="Courier New" w:hint="default"/>
      </w:rPr>
    </w:lvl>
    <w:lvl w:ilvl="5" w:tplc="D3060394" w:tentative="1">
      <w:start w:val="1"/>
      <w:numFmt w:val="bullet"/>
      <w:lvlText w:val=""/>
      <w:lvlJc w:val="left"/>
      <w:pPr>
        <w:ind w:left="4320" w:hanging="360"/>
      </w:pPr>
      <w:rPr>
        <w:rFonts w:ascii="Wingdings" w:hAnsi="Wingdings" w:hint="default"/>
      </w:rPr>
    </w:lvl>
    <w:lvl w:ilvl="6" w:tplc="9D2C0FD2" w:tentative="1">
      <w:start w:val="1"/>
      <w:numFmt w:val="bullet"/>
      <w:lvlText w:val=""/>
      <w:lvlJc w:val="left"/>
      <w:pPr>
        <w:ind w:left="5040" w:hanging="360"/>
      </w:pPr>
      <w:rPr>
        <w:rFonts w:ascii="Symbol" w:hAnsi="Symbol" w:hint="default"/>
      </w:rPr>
    </w:lvl>
    <w:lvl w:ilvl="7" w:tplc="4712CAD0" w:tentative="1">
      <w:start w:val="1"/>
      <w:numFmt w:val="bullet"/>
      <w:lvlText w:val="o"/>
      <w:lvlJc w:val="left"/>
      <w:pPr>
        <w:ind w:left="5760" w:hanging="360"/>
      </w:pPr>
      <w:rPr>
        <w:rFonts w:ascii="Courier New" w:hAnsi="Courier New" w:cs="Courier New" w:hint="default"/>
      </w:rPr>
    </w:lvl>
    <w:lvl w:ilvl="8" w:tplc="0FB4AA2C"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2560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1149D"/>
    <w:rsid w:val="00103E15"/>
    <w:rsid w:val="00113BC1"/>
    <w:rsid w:val="001D223D"/>
    <w:rsid w:val="00260AD5"/>
    <w:rsid w:val="00281041"/>
    <w:rsid w:val="00463090"/>
    <w:rsid w:val="004A70D3"/>
    <w:rsid w:val="005074D0"/>
    <w:rsid w:val="005A34DF"/>
    <w:rsid w:val="006307FB"/>
    <w:rsid w:val="006B7E9F"/>
    <w:rsid w:val="006F12E1"/>
    <w:rsid w:val="007054E2"/>
    <w:rsid w:val="0074050F"/>
    <w:rsid w:val="00802136"/>
    <w:rsid w:val="00851B46"/>
    <w:rsid w:val="008B75F5"/>
    <w:rsid w:val="00900436"/>
    <w:rsid w:val="009E41CA"/>
    <w:rsid w:val="00A7476E"/>
    <w:rsid w:val="00AB55E8"/>
    <w:rsid w:val="00B25075"/>
    <w:rsid w:val="00C20A11"/>
    <w:rsid w:val="00C22E26"/>
    <w:rsid w:val="00C724A2"/>
    <w:rsid w:val="00CF4A3B"/>
    <w:rsid w:val="00E03C0D"/>
    <w:rsid w:val="00EB1373"/>
    <w:rsid w:val="00EB571E"/>
    <w:rsid w:val="00EE574C"/>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5601"/>
    <o:shapelayout v:ext="edit">
      <o:idmap v:ext="edit" data="1"/>
    </o:shapelayout>
  </w:shapeDefaults>
  <w:decimalSymbol w:val=","/>
  <w:listSeparator w:val=";"/>
  <w15:chartTrackingRefBased/>
  <w15:docId w15:val="{2458BB30-2A3B-4E74-AD67-3B56074355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de-AT"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val="es-MX" w:eastAsia="es-MX"/>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s-MX" w:eastAsia="es-MX"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s-MX" w:eastAsia="es-MX" w:bidi="ar-SA"/>
    </w:rPr>
  </w:style>
  <w:style w:type="character" w:styleId="Hyperlink">
    <w:name w:val="Hyperlink"/>
    <w:uiPriority w:val="99"/>
    <w:rsid w:val="007054E2"/>
    <w:rPr>
      <w:color w:val="0000FF"/>
      <w:u w:val="single"/>
      <w:lang w:val="es-MX" w:eastAsia="es-MX"/>
    </w:rPr>
  </w:style>
  <w:style w:type="paragraph" w:styleId="Textkrper">
    <w:name w:val="Body Text"/>
    <w:basedOn w:val="Standard"/>
    <w:link w:val="TextkrperZchn"/>
    <w:unhideWhenUsed/>
    <w:rsid w:val="007054E2"/>
    <w:rPr>
      <w:rFonts w:ascii="Courier New" w:eastAsia="Times New Roman" w:hAnsi="Courier New"/>
      <w:sz w:val="24"/>
      <w:szCs w:val="20"/>
    </w:rPr>
  </w:style>
  <w:style w:type="character" w:customStyle="1" w:styleId="TextkrperZchn">
    <w:name w:val="Textkörper Zchn"/>
    <w:link w:val="Textkrper"/>
    <w:rsid w:val="007054E2"/>
    <w:rPr>
      <w:rFonts w:ascii="Courier New" w:eastAsia="Times New Roman" w:hAnsi="Courier New"/>
      <w:sz w:val="24"/>
      <w:lang w:val="es-MX" w:eastAsia="es-MX"/>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val="es-MX" w:eastAsia="es-MX"/>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es-MX" w:eastAsia="es-MX"/>
    </w:rPr>
  </w:style>
  <w:style w:type="character" w:styleId="Fett">
    <w:name w:val="Strong"/>
    <w:qFormat/>
    <w:rsid w:val="00FF591F"/>
    <w:rPr>
      <w:b/>
      <w:bCs/>
      <w:lang w:val="es-MX" w:eastAsia="es-MX"/>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val="es-MX" w:eastAsia="es-MX"/>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val="es-MX" w:eastAsia="es-MX"/>
    </w:rPr>
  </w:style>
  <w:style w:type="character" w:styleId="Funotenzeichen">
    <w:name w:val="footnote reference"/>
    <w:rsid w:val="00BA67A4"/>
    <w:rPr>
      <w:vertAlign w:val="superscript"/>
      <w:lang w:val="es-MX" w:eastAsia="es-MX"/>
    </w:rPr>
  </w:style>
  <w:style w:type="character" w:customStyle="1" w:styleId="BesuchterLink">
    <w:name w:val="BesuchterLink"/>
    <w:rsid w:val="00EE5573"/>
    <w:rPr>
      <w:color w:val="800080"/>
      <w:u w:val="single"/>
      <w:lang w:val="es-MX" w:eastAsia="es-MX"/>
    </w:rPr>
  </w:style>
  <w:style w:type="character" w:styleId="Kommentarzeichen">
    <w:name w:val="annotation reference"/>
    <w:uiPriority w:val="99"/>
    <w:rsid w:val="007F4338"/>
    <w:rPr>
      <w:sz w:val="16"/>
      <w:szCs w:val="16"/>
      <w:lang w:val="es-MX" w:eastAsia="es-MX"/>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val="es-MX" w:eastAsia="es-MX"/>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val="es-MX" w:eastAsia="es-MX"/>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val="es-MX" w:eastAsia="es-MX"/>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8240557">
      <w:bodyDiv w:val="1"/>
      <w:marLeft w:val="0"/>
      <w:marRight w:val="0"/>
      <w:marTop w:val="0"/>
      <w:marBottom w:val="0"/>
      <w:divBdr>
        <w:top w:val="none" w:sz="0" w:space="0" w:color="auto"/>
        <w:left w:val="none" w:sz="0" w:space="0" w:color="auto"/>
        <w:bottom w:val="none" w:sz="0" w:space="0" w:color="auto"/>
        <w:right w:val="none" w:sz="0" w:space="0" w:color="auto"/>
      </w:divBdr>
    </w:div>
    <w:div w:id="21305390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mailto:gonzalez.laura@fronius.com" TargetMode="External"/><Relationship Id="rId26" Type="http://schemas.openxmlformats.org/officeDocument/2006/relationships/customXml" Target="../customXml/item6.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fronius.com/en/welding-technology/infocentre/press" TargetMode="External"/><Relationship Id="rId25" Type="http://schemas.openxmlformats.org/officeDocument/2006/relationships/customXml" Target="../customXml/item5.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image" Target="media/image7.emf"/><Relationship Id="rId23" Type="http://schemas.openxmlformats.org/officeDocument/2006/relationships/customXml" Target="../customXml/item3.xml"/><Relationship Id="rId10" Type="http://schemas.openxmlformats.org/officeDocument/2006/relationships/image" Target="media/image2.png"/><Relationship Id="rId19" Type="http://schemas.openxmlformats.org/officeDocument/2006/relationships/hyperlink" Target="mailto:kirsten.ludwig@a1kommunikation.de"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customXml" Target="../customXml/item2.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#ES</TermName>
          <TermId xmlns="http://schemas.microsoft.com/office/infopath/2007/PartnerControls">dd4c9c45-94c3-4cf4-ab9c-523f2b58f76e</TermId>
        </TermInfo>
      </Terms>
    </k62430406562456c9289cb18a9752f33>
    <title_TI_DE xmlns="dc0c2c3d-e9fc-4a0d-820b-87ab82e65f20">Guntamatic</title_TI_DE>
    <title_TI_NO xmlns="dc0c2c3d-e9fc-4a0d-820b-87ab82e65f20">Guntamatic</title_TI_NO>
    <Documenttype_PT xmlns="dc0c2c3d-e9fc-4a0d-820b-87ab82e65f20">Comunicado à imprensa</Documenttype_PT>
    <Documenttype_RU xmlns="dc0c2c3d-e9fc-4a0d-820b-87ab82e65f20">Пресс-релиз</Documenttype_RU>
    <title_TI_TR xmlns="dc0c2c3d-e9fc-4a0d-820b-87ab82e65f20">Guntamatic</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Guntamatic</title_TI_TH>
    <Licence_x0020_information xmlns="dc0c2c3d-e9fc-4a0d-820b-87ab82e65f20">(c) Fronius International</Licence_x0020_information>
    <title_TI_EA xmlns="dc0c2c3d-e9fc-4a0d-820b-87ab82e65f20">Guntamatic</title_TI_EA>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Guntamatic</title_TI_DA>
    <Documenttype_TR xmlns="dc0c2c3d-e9fc-4a0d-820b-87ab82e65f20">Basın bülteni</Documenttype_TR>
    <title_TI_PL xmlns="dc0c2c3d-e9fc-4a0d-820b-87ab82e65f20">Guntamatic</title_TI_PL>
    <Documenttype_TH xmlns="dc0c2c3d-e9fc-4a0d-820b-87ab82e65f20">ข่าวประชาสัมพันธ์</Documenttype_TH>
    <title_TI_EL xmlns="dc0c2c3d-e9fc-4a0d-820b-87ab82e65f20">Guntamatic</title_TI_EL>
    <Documenttype_EA xmlns="dc0c2c3d-e9fc-4a0d-820b-87ab82e65f20">Press Release</Documenttype_EA>
    <title_TI_PT xmlns="dc0c2c3d-e9fc-4a0d-820b-87ab82e65f20">Guntamatic</title_TI_PT>
    <Web_x0020_Display_x0020_Title_x0020_ET xmlns="dc0c2c3d-e9fc-4a0d-820b-87ab82e65f20">Guntamatic</Web_x0020_Display_x0020_Title_x0020_ET>
    <title_ti_fi xmlns="dc0c2c3d-e9fc-4a0d-820b-87ab82e65f20">Guntamatic</title_ti_fi>
    <Resolution xmlns="dc0c2c3d-e9fc-4a0d-820b-87ab82e65f20" xsi:nil="true"/>
    <Country xmlns="dc0c2c3d-e9fc-4a0d-820b-87ab82e65f20">
      <Value>38</Value>
    </Country>
    <fro_spid xmlns="dc0c2c3d-e9fc-4a0d-820b-87ab82e65f20">16150;SE</fro_spid>
    <title_TI_RU xmlns="dc0c2c3d-e9fc-4a0d-820b-87ab82e65f20">Guntamatic</title_TI_RU>
    <Division xmlns="dc0c2c3d-e9fc-4a0d-820b-87ab82e65f20">Perfect Welding</Division>
    <Documenttype_JA xmlns="dc0c2c3d-e9fc-4a0d-820b-87ab82e65f20">ニュースリリース</Documenttype_JA>
    <Colour_x0020_space xmlns="dc0c2c3d-e9fc-4a0d-820b-87ab82e65f20" xsi:nil="true"/>
    <title_TI_CS xmlns="dc0c2c3d-e9fc-4a0d-820b-87ab82e65f20">Guntamatic</title_TI_CS>
    <title_TI_AR xmlns="dc0c2c3d-e9fc-4a0d-820b-87ab82e65f20">Guntamatic</title_TI_AR>
    <Documenttype_EN xmlns="dc0c2c3d-e9fc-4a0d-820b-87ab82e65f20">Press Release</Documenttype_EN>
    <Documenttype_ES xmlns="dc0c2c3d-e9fc-4a0d-820b-87ab82e65f20">Información de prensa</Documenttype_ES>
    <title_TI_CN xmlns="dc0c2c3d-e9fc-4a0d-820b-87ab82e65f20" xsi:nil="true"/>
    <title_TI_FR xmlns="dc0c2c3d-e9fc-4a0d-820b-87ab82e65f20">Guntamatic</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Guntamatic</title_TI_SV>
    <Documenttype_PL xmlns="dc0c2c3d-e9fc-4a0d-820b-87ab82e65f20">Informacja prasowe</Documenttype_PL>
    <VersionInternal xmlns="dc0c2c3d-e9fc-4a0d-820b-87ab82e65f20">2</VersionInternal>
    <Update xmlns="dc0c2c3d-e9fc-4a0d-820b-87ab82e65f20" xsi:nil="true"/>
    <FSM xmlns="dc0c2c3d-e9fc-4a0d-820b-87ab82e65f20">No</FSM>
    <FileMaster xmlns="dc0c2c3d-e9fc-4a0d-820b-87ab82e65f20">C-100262</FileMaster>
    <title_TI_NL xmlns="dc0c2c3d-e9fc-4a0d-820b-87ab82e65f20">Guntamatic</title_TI_NL>
    <contentservId xmlns="53041210-5658-4a0d-8a74-f9413e00f15b">C-100263</contentservId>
    <title_TI_IT xmlns="dc0c2c3d-e9fc-4a0d-820b-87ab82e65f20">Guntamatic</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escription0 xmlns="53041210-5658-4a0d-8a74-f9413e00f15b" xsi:nil="true"/>
    <Documenttype_FR xmlns="dc0c2c3d-e9fc-4a0d-820b-87ab82e65f20">Communiqué de presse</Documenttype_FR>
    <FroCountryExclusive xmlns="dc0c2c3d-e9fc-4a0d-820b-87ab82e65f20">No</FroCountryExclusive>
    <title_TI_UA xmlns="dc0c2c3d-e9fc-4a0d-820b-87ab82e65f20">Guntamatic</title_TI_UA>
    <title_TI_JP xmlns="dc0c2c3d-e9fc-4a0d-820b-87ab82e65f20">Guntamatic</title_TI_JP>
    <Documenttype_NL xmlns="dc0c2c3d-e9fc-4a0d-820b-87ab82e65f20">Persbericht</Documenttype_NL>
    <title_TI_RO xmlns="dc0c2c3d-e9fc-4a0d-820b-87ab82e65f20">Guntamatic</title_TI_RO>
    <Documenttype_NB xmlns="dc0c2c3d-e9fc-4a0d-820b-87ab82e65f20">Presseinformasjon</Documenttype_NB>
    <title_ti_nb xmlns="dc0c2c3d-e9fc-4a0d-820b-87ab82e65f20">Guntamatic</title_ti_nb>
    <title_TI_ES xmlns="dc0c2c3d-e9fc-4a0d-820b-87ab82e65f20">Guntamatic</title_TI_ES>
    <title_TI_JA xmlns="dc0c2c3d-e9fc-4a0d-820b-87ab82e65f20">Guntamatic</title_TI_JA>
    <TaxCatchAll xmlns="92f60987-cbcc-4245-baaf-239af3bfd6e8">
      <Value>259</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Guntamatic</title_TI_EN>
    <MRMKeyWords xmlns="dc0c2c3d-e9fc-4a0d-820b-87ab82e65f20">#TransPocket#VarioSynergic#MagicWave#Biomasse#Presseinformation#Anwenderreportage#TransSteel 4000 Pulse#Guntamatic GmbH#biomass#Press release#application story#transpocket#variosynergic#magicwave#biomasse#presseinformation#pressrelease#anwenderreportage#applicationstory#transsteel4000pulse#guntamaticgmbh#</MRMKeyWords>
    <title_ti_zh xmlns="dc0c2c3d-e9fc-4a0d-820b-87ab82e65f20">Guntamatic</title_ti_zh>
    <MRMID xmlns="dc0c2c3d-e9fc-4a0d-820b-87ab82e65f20">M-173008</MRMID>
    <Documenttype_UK xmlns="dc0c2c3d-e9fc-4a0d-820b-87ab82e65f20">Прес-релізи</Documenttype_UK>
    <title_TI_SK xmlns="dc0c2c3d-e9fc-4a0d-820b-87ab82e65f20">Guntamatic</title_TI_SK>
    <Documenttype_UA xmlns="dc0c2c3d-e9fc-4a0d-820b-87ab82e65f20">Прес-релізи</Documenttype_UA>
    <title_TI_HU xmlns="dc0c2c3d-e9fc-4a0d-820b-87ab82e65f20">Guntamatic</title_TI_HU>
    <Country_x0020_Quick_x0020_Select xmlns="dc0c2c3d-e9fc-4a0d-820b-87ab82e65f20">Select...</Country_x0020_Quick_x0020_Select>
    <title_ti_uk xmlns="dc0c2c3d-e9fc-4a0d-820b-87ab82e65f20">Guntamatic</title_ti_uk>
    <Fecha xmlns="53041210-5658-4a0d-8a74-f9413e00f15b" xsi:nil="true"/>
  </documentManagement>
</p:properties>
</file>

<file path=customXml/itemProps1.xml><?xml version="1.0" encoding="utf-8"?>
<ds:datastoreItem xmlns:ds="http://schemas.openxmlformats.org/officeDocument/2006/customXml" ds:itemID="{AF1EC351-2B05-4CC6-AEC4-8ED4C7D9F5B9}">
  <ds:schemaRefs>
    <ds:schemaRef ds:uri="http://schemas.openxmlformats.org/officeDocument/2006/bibliography"/>
  </ds:schemaRefs>
</ds:datastoreItem>
</file>

<file path=customXml/itemProps2.xml><?xml version="1.0" encoding="utf-8"?>
<ds:datastoreItem xmlns:ds="http://schemas.openxmlformats.org/officeDocument/2006/customXml" ds:itemID="{F3DE2417-55FB-486C-B63E-0FB10087CB7D}"/>
</file>

<file path=customXml/itemProps3.xml><?xml version="1.0" encoding="utf-8"?>
<ds:datastoreItem xmlns:ds="http://schemas.openxmlformats.org/officeDocument/2006/customXml" ds:itemID="{8E9D4CFC-F64D-4994-B780-80A4A659AB6E}"/>
</file>

<file path=customXml/itemProps4.xml><?xml version="1.0" encoding="utf-8"?>
<ds:datastoreItem xmlns:ds="http://schemas.openxmlformats.org/officeDocument/2006/customXml" ds:itemID="{63443A47-8E51-4E76-A84A-289EAB92A739}"/>
</file>

<file path=customXml/itemProps5.xml><?xml version="1.0" encoding="utf-8"?>
<ds:datastoreItem xmlns:ds="http://schemas.openxmlformats.org/officeDocument/2006/customXml" ds:itemID="{646A7DEA-1B93-40CC-976F-66EC0E6EB00D}"/>
</file>

<file path=customXml/itemProps6.xml><?xml version="1.0" encoding="utf-8"?>
<ds:datastoreItem xmlns:ds="http://schemas.openxmlformats.org/officeDocument/2006/customXml" ds:itemID="{64D55B7C-123B-4657-B789-9E586BAE036F}"/>
</file>

<file path=docProps/app.xml><?xml version="1.0" encoding="utf-8"?>
<Properties xmlns="http://schemas.openxmlformats.org/officeDocument/2006/extended-properties" xmlns:vt="http://schemas.openxmlformats.org/officeDocument/2006/docPropsVTypes">
  <Template>Fronius-Standardvorlage.dotm</Template>
  <TotalTime>0</TotalTime>
  <Pages>7</Pages>
  <Words>1622</Words>
  <Characters>9547</Characters>
  <Application>Microsoft Office Word</Application>
  <DocSecurity>0</DocSecurity>
  <Lines>79</Lines>
  <Paragraphs>22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TITEL</vt:lpstr>
      <vt:lpstr>TITEL</vt:lpstr>
    </vt:vector>
  </TitlesOfParts>
  <Company/>
  <LinksUpToDate>false</LinksUpToDate>
  <CharactersWithSpaces>11147</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3801153</vt:i4>
      </vt:variant>
      <vt:variant>
        <vt:i4>3</vt:i4>
      </vt:variant>
      <vt:variant>
        <vt:i4>0</vt:i4>
      </vt:variant>
      <vt:variant>
        <vt:i4>5</vt:i4>
      </vt:variant>
      <vt:variant>
        <vt:lpwstr>mailto:gonzalez.laura@fronius.com</vt:lpwstr>
      </vt:variant>
      <vt:variant>
        <vt:lpwstr/>
      </vt:variant>
      <vt:variant>
        <vt:i4>1310737</vt:i4>
      </vt:variant>
      <vt:variant>
        <vt:i4>0</vt:i4>
      </vt:variant>
      <vt:variant>
        <vt:i4>0</vt:i4>
      </vt:variant>
      <vt:variant>
        <vt:i4>5</vt:i4>
      </vt:variant>
      <vt:variant>
        <vt:lpwstr>http://www.fronius.com/en/welding-technology/infocentre/press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PW_PR_Guntamatic_Biomass_ES</dc:title>
  <dc:subject/>
  <dc:creator>Demirok Fidan</dc:creator>
  <cp:keywords/>
  <cp:lastModifiedBy>Hemetsberger Susanne</cp:lastModifiedBy>
  <cp:revision>6</cp:revision>
  <cp:lastPrinted>2016-07-21T12:13:00Z</cp:lastPrinted>
  <dcterms:created xsi:type="dcterms:W3CDTF">2021-09-30T08:58:00Z</dcterms:created>
  <dcterms:modified xsi:type="dcterms:W3CDTF">2021-11-08T13:52:00Z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orkflowChangePath">
    <vt:lpwstr>84063e84-3b90-4264-9d91-20c80f9713f8,7;84063e84-3b90-4264-9d91-20c80f9713f8,7;84063e84-3b90-4264-9d91-20c80f9713f8,7;</vt:lpwstr>
  </property>
  <property fmtid="{D5CDD505-2E9C-101B-9397-08002B2CF9AE}" pid="10" name="_docset_NoMedatataSyncRequired">
    <vt:lpwstr>False</vt:lpwstr>
  </property>
  <property fmtid="{D5CDD505-2E9C-101B-9397-08002B2CF9AE}" pid="11" name="Language">
    <vt:lpwstr>259;##ES|dd4c9c45-94c3-4cf4-ab9c-523f2b58f76e</vt:lpwstr>
  </property>
  <property fmtid="{D5CDD505-2E9C-101B-9397-08002B2CF9AE}" pid="12" name="FroConDoc_language">
    <vt:lpwstr>1;#DE|676160ea-61f7-4cef-8b4c-1724dec2206e</vt:lpwstr>
  </property>
</Properties>
</file>