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Tlačová informácia</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66F57720" w14:textId="77777777" w:rsidR="000E0182" w:rsidRPr="00CE32AC" w:rsidRDefault="000E0182" w:rsidP="000E0182">
      <w:pPr>
        <w:jc w:val="both"/>
      </w:pPr>
      <w:r>
        <w:t>Naváranie 12 metrov vysokých membránových stien pomocou technológie CMT</w:t>
      </w:r>
    </w:p>
    <w:p w14:paraId="71E7EBDA" w14:textId="77777777" w:rsidR="000E0182" w:rsidRPr="000E0182" w:rsidRDefault="000E0182" w:rsidP="000E0182">
      <w:pPr>
        <w:rPr>
          <w:caps/>
          <w:color w:val="C00000"/>
          <w:sz w:val="32"/>
          <w:szCs w:val="32"/>
        </w:rPr>
      </w:pPr>
      <w:r w:rsidRPr="000E0182">
        <w:rPr>
          <w:caps/>
          <w:color w:val="C00000"/>
          <w:sz w:val="32"/>
        </w:rPr>
        <w:t>Naváracia veža CMT na membránové steny</w:t>
      </w:r>
    </w:p>
    <w:p w14:paraId="694FF33E" w14:textId="77777777" w:rsidR="000E0182" w:rsidRDefault="000E0182" w:rsidP="000E0182">
      <w:r>
        <w:t>Priemyselný podnik SHI FW Energia FAKOP (ďalej len FAKOP) stavia na viac ako storočnej tradícii. V roku 1880 zakladajú Wilhelm Fitzner a Konrad Gamper v meste Sosnowiec fabriku na parné kotly „W. Fitzner Dampfkesselfabrik“. Už o dvadsať rokov neskôr sa poľským kotlárom na svetovej výstave v Paríži v roku 1900 podarí dosiahnuť skutočný svetový úspech v podobe výhry veľkej ceny („Grand Prix“). V roku 2009 je spoločnosť FAKOP opäť vo svetle reflektorov, a to vďaka najväčšiemu kotlu s fluidizačnou vrstvou na svete. Úspechy s kotlami a líderstvo v oblasti špičkových technológií zaväzujú: Na naváranie 12 metrov vysokých membránových stien, ktoré sa používajú v spaľovniach odpadu, padla voľba na riešenie od spoločnosti Fronius. Presnejšie povedané na vysoké zariadenie obchodnej jednotky Welding automation, slúžiace na naváranie pomocou technológie CMT, poháňané pomocou dvoch výťahových plošín.</w:t>
      </w:r>
    </w:p>
    <w:p w14:paraId="3B3384D7" w14:textId="77777777" w:rsidR="000E0182" w:rsidRPr="008E7374" w:rsidRDefault="000E0182" w:rsidP="000E0182">
      <w:pPr>
        <w:rPr>
          <w:vanish/>
          <w:sz w:val="21"/>
          <w:szCs w:val="21"/>
        </w:rPr>
      </w:pPr>
    </w:p>
    <w:p w14:paraId="427BF47D" w14:textId="77777777" w:rsidR="000E0182" w:rsidRPr="00CE32AC" w:rsidRDefault="000E0182" w:rsidP="000E0182">
      <w:pPr>
        <w:rPr>
          <w:sz w:val="20"/>
          <w:szCs w:val="20"/>
        </w:rPr>
      </w:pPr>
      <w:r>
        <w:rPr>
          <w:sz w:val="20"/>
        </w:rPr>
        <w:t xml:space="preserve">Membránové steny sú výhrevné steny veľkých vodorúrkových kotlov vyrobené z rúr a plochej ocele, ktoré sa používajú v komerčnej a priemyselnej energetike. Meniaci sa trend v oblasti palív a spaľovania čoraz ťažších a agresívnejších palív núti podniky vyvíjať dodatočnú ochranu pred koróziou membránových stien. Metóda ochrany, ktorá sa na to používa, sa označuje ako naváranie a je tou najefektívnejšou metódou na ochranu povrchu membránových stien. </w:t>
      </w:r>
    </w:p>
    <w:p w14:paraId="285F24B8" w14:textId="77777777" w:rsidR="000E0182" w:rsidRPr="00CE32AC" w:rsidRDefault="000E0182" w:rsidP="000E0182">
      <w:pPr>
        <w:rPr>
          <w:sz w:val="20"/>
          <w:szCs w:val="20"/>
        </w:rPr>
      </w:pPr>
      <w:r>
        <w:rPr>
          <w:i/>
          <w:sz w:val="20"/>
        </w:rPr>
        <w:t>„Na povlakovanie rebrových rúr používame cca 15 metrov vysokú naváraciu vežu obchodnej jednotky Fronius Welding Automation,“</w:t>
      </w:r>
      <w:r>
        <w:rPr>
          <w:sz w:val="20"/>
        </w:rPr>
        <w:t xml:space="preserve"> objasňuje Arkadiusz Osuch, riaditeľ spoločnosti FAKOP. </w:t>
      </w:r>
      <w:r>
        <w:rPr>
          <w:i/>
          <w:sz w:val="20"/>
        </w:rPr>
        <w:t>„Dokáže pojať 12 metrov vysoké a 1,6 metra široké membránové steny a je poháňaná dvoma výťahovými plošinami, ktoré sú obe vybavené inovatívnou zváracou technológiou CMT.“</w:t>
      </w:r>
      <w:r>
        <w:rPr>
          <w:sz w:val="20"/>
        </w:rPr>
        <w:t xml:space="preserve"> </w:t>
      </w:r>
    </w:p>
    <w:p w14:paraId="6510815B" w14:textId="77777777" w:rsidR="000E0182" w:rsidRPr="00CE32AC" w:rsidRDefault="000E0182" w:rsidP="000E0182">
      <w:pPr>
        <w:rPr>
          <w:sz w:val="20"/>
          <w:szCs w:val="20"/>
          <w:u w:val="single"/>
        </w:rPr>
      </w:pPr>
      <w:r>
        <w:rPr>
          <w:sz w:val="20"/>
          <w:u w:val="single"/>
        </w:rPr>
        <w:t>Menej ako 3 % miera premiešania ocele vo zvarovom kove</w:t>
      </w:r>
    </w:p>
    <w:p w14:paraId="453F6A15" w14:textId="77777777" w:rsidR="000E0182" w:rsidRPr="00CE32AC" w:rsidRDefault="000E0182" w:rsidP="000E0182">
      <w:pPr>
        <w:rPr>
          <w:sz w:val="20"/>
        </w:rPr>
      </w:pPr>
      <w:r>
        <w:rPr>
          <w:sz w:val="20"/>
        </w:rPr>
        <w:t xml:space="preserve">Proces navárania je spojený s mnohými výzvami. Rozhodujúcim faktorom pre účinnosť ochrany proti korózii je miera premiešania. Myslí sa pod tým premiešanie základného materiálu s naváranou zliatinou. Cieľom je udržať čo najnižšiu mieru premiešania a zároveň zaručiť dobré roztavenie medzi základným materiálom a ochrannou vrstvou. Nízka miera premiešania znamená dlhšiu životnosť zariadení. </w:t>
      </w:r>
    </w:p>
    <w:p w14:paraId="2CD5824B" w14:textId="77777777" w:rsidR="000E0182" w:rsidRPr="00CE32AC" w:rsidRDefault="000E0182" w:rsidP="000E0182">
      <w:pPr>
        <w:rPr>
          <w:sz w:val="20"/>
          <w:szCs w:val="20"/>
        </w:rPr>
      </w:pPr>
      <w:r>
        <w:rPr>
          <w:sz w:val="20"/>
        </w:rPr>
        <w:t>Jaroslaw Olej, hlavný expert na zváranie, potvrdzuje</w:t>
      </w:r>
      <w:r>
        <w:rPr>
          <w:i/>
          <w:sz w:val="20"/>
        </w:rPr>
        <w:t>: „Aktuálne je miera premiešania pravidelne pod hodnotou 3 %“.</w:t>
      </w:r>
      <w:r>
        <w:rPr>
          <w:sz w:val="20"/>
        </w:rPr>
        <w:t xml:space="preserve"> </w:t>
      </w:r>
    </w:p>
    <w:p w14:paraId="15F448D9" w14:textId="77777777" w:rsidR="000E0182" w:rsidRPr="00CE32AC" w:rsidRDefault="000E0182" w:rsidP="000E0182">
      <w:pPr>
        <w:rPr>
          <w:sz w:val="20"/>
          <w:szCs w:val="20"/>
        </w:rPr>
      </w:pPr>
      <w:r>
        <w:rPr>
          <w:sz w:val="20"/>
        </w:rPr>
        <w:t xml:space="preserve">Predtým, než sa vedenie spoločnosti FAKOP rozhodlo pre zaobstaranie mechanického zváracieho systému CMT, boli membránové steny povlakované pomocou iných techník. </w:t>
      </w:r>
    </w:p>
    <w:p w14:paraId="579B58E4" w14:textId="77777777" w:rsidR="000E0182" w:rsidRPr="00CE32AC" w:rsidRDefault="000E0182" w:rsidP="000E0182">
      <w:pPr>
        <w:rPr>
          <w:sz w:val="20"/>
          <w:szCs w:val="20"/>
        </w:rPr>
      </w:pPr>
      <w:r>
        <w:rPr>
          <w:sz w:val="20"/>
        </w:rPr>
        <w:t>V snahe zohľadniť nároky zákazníkov na kvalitu, dbajú výrobní inžinieri pre zváraciu techniku spoločnosti FAKOP už pri predspracovaní rúr membránových stien na každý, aj ten najmenší detail. Po predspracovaní povrchu musia zbavené prachu a hrdze prejsť procesom navárania.</w:t>
      </w:r>
    </w:p>
    <w:p w14:paraId="7DADF52C" w14:textId="77777777" w:rsidR="000E0182" w:rsidRPr="00CE32AC" w:rsidRDefault="000E0182" w:rsidP="000E0182">
      <w:pPr>
        <w:rPr>
          <w:sz w:val="20"/>
          <w:szCs w:val="20"/>
          <w:u w:val="single"/>
        </w:rPr>
      </w:pPr>
      <w:r>
        <w:rPr>
          <w:sz w:val="20"/>
          <w:u w:val="single"/>
        </w:rPr>
        <w:lastRenderedPageBreak/>
        <w:t>Rozhodujúci je zvárací proces</w:t>
      </w:r>
    </w:p>
    <w:p w14:paraId="15A38ABA" w14:textId="77777777" w:rsidR="000E0182" w:rsidRPr="00CE32AC" w:rsidRDefault="000E0182" w:rsidP="000E0182">
      <w:pPr>
        <w:rPr>
          <w:sz w:val="20"/>
          <w:szCs w:val="20"/>
        </w:rPr>
      </w:pPr>
      <w:r>
        <w:rPr>
          <w:sz w:val="20"/>
        </w:rPr>
        <w:t>Podstatný faktor, ktorý hral v prospech kúpy zváracej veže spoločnosti Fronius, je používanie technológie CMT. Jej výhoda spočíva v digitálnej regulácii procesu, ktorá sama rozpoznáva skraty a pomocou spätného sťahovania drôtu podporuje uvoľňovanie kvapiek. Tým vzniká pohyb vpred a vzad, ktorý zachováva krátkosť fázy horenia elektrického oblúka a redukuje vnášanie tepla. Výsledkom je prechod materiálu, ktorý umožňuje dosiahnuť bezrozstrekové výsledky navárania s obzvlášť hladkým povrchom, mäkkými prekryvmi zvarov a konštantnou hrúbkou vrstiev.</w:t>
      </w:r>
    </w:p>
    <w:p w14:paraId="3E0DD138" w14:textId="77777777" w:rsidR="000E0182" w:rsidRPr="00CE32AC" w:rsidRDefault="000E0182" w:rsidP="000E0182">
      <w:pPr>
        <w:rPr>
          <w:sz w:val="20"/>
          <w:szCs w:val="20"/>
        </w:rPr>
      </w:pPr>
      <w:r>
        <w:rPr>
          <w:sz w:val="20"/>
        </w:rPr>
        <w:t>„</w:t>
      </w:r>
      <w:r>
        <w:rPr>
          <w:i/>
          <w:sz w:val="20"/>
        </w:rPr>
        <w:t>Proces CMT v súčasnosti vyžaduje väčšina zákazníkov,“ dopĺňa p. Olej a pokračuje: „Dá sa povedať, že sa etabloval ako štandard, a ten, kto ho vie, používať správne, má dobré šance na trhu.“</w:t>
      </w:r>
      <w:r>
        <w:rPr>
          <w:sz w:val="20"/>
        </w:rPr>
        <w:t xml:space="preserve"> </w:t>
      </w:r>
    </w:p>
    <w:p w14:paraId="33202E68" w14:textId="77777777" w:rsidR="000E0182" w:rsidRPr="00CE32AC" w:rsidRDefault="000E0182" w:rsidP="000E0182">
      <w:pPr>
        <w:rPr>
          <w:sz w:val="20"/>
          <w:szCs w:val="20"/>
          <w:u w:val="single"/>
        </w:rPr>
      </w:pPr>
      <w:r>
        <w:rPr>
          <w:sz w:val="20"/>
          <w:u w:val="single"/>
        </w:rPr>
        <w:t>Odbornosť je triumf</w:t>
      </w:r>
    </w:p>
    <w:p w14:paraId="74A1162F" w14:textId="77777777" w:rsidR="000E0182" w:rsidRPr="00CE32AC" w:rsidRDefault="000E0182" w:rsidP="000E0182">
      <w:pPr>
        <w:rPr>
          <w:sz w:val="20"/>
          <w:szCs w:val="20"/>
        </w:rPr>
      </w:pPr>
      <w:r>
        <w:rPr>
          <w:sz w:val="20"/>
        </w:rPr>
        <w:t xml:space="preserve">Schopnosti a skúsenosti v oblasti zváracej techniky hrajú dôležitú rolu. Napríklad stabilita elektrického oblúka, a tým aj náchylnosť k pórovitosti, závisia do veľkej miery od rovnomerne optimálnej, ako aj konštantnej rýchlosti podávania drôtu. </w:t>
      </w:r>
    </w:p>
    <w:p w14:paraId="62DCF113" w14:textId="77777777" w:rsidR="000E0182" w:rsidRPr="00CE32AC" w:rsidRDefault="000E0182" w:rsidP="000E0182">
      <w:pPr>
        <w:rPr>
          <w:sz w:val="20"/>
          <w:szCs w:val="20"/>
        </w:rPr>
      </w:pPr>
      <w:r>
        <w:rPr>
          <w:sz w:val="20"/>
        </w:rPr>
        <w:t>„Od bubna na prepravu drôtu až po zvárací horák máme dočinenia s dĺžkou drôtu asi 15 metrov. Preto je ťažké stopercentne zaručiť konštantnosť rýchlosť drôtu. Potrebný je na to spoľahlivo fungujúci posuv drôtu, rad testov a dostatok odborného know-how,“ poukazuje Piotr Ogórek, expert na technológie a vývoj, na dôležitosť špecifických odborných vedomostí pri kladení membránových stien. „Ďalším kritériom je ideálna poloha zváracieho horáka, keďže pri zle nastavenom uhle zváracieho horáka vznikajú rozstreky,“ pokračuje Ogórek.</w:t>
      </w:r>
    </w:p>
    <w:p w14:paraId="5119443D" w14:textId="77777777" w:rsidR="000E0182" w:rsidRPr="00CE32AC" w:rsidRDefault="000E0182" w:rsidP="000E0182">
      <w:pPr>
        <w:rPr>
          <w:sz w:val="20"/>
          <w:szCs w:val="20"/>
        </w:rPr>
      </w:pPr>
      <w:r>
        <w:rPr>
          <w:sz w:val="20"/>
        </w:rPr>
        <w:t xml:space="preserve">Dĺžka vysunutia a s tým spojená dĺžka elektrického oblúka sú ďalšie podstatné faktory kvality, ktoré spolu s konštantnou rýchlosťou podávania drôtu prispievajú k redukcii pórov. S pomocou spoločnosti Fronius prispôsobujú špecialisti spoločnosti FAKOP vlastnosti svojich zdrojov energie TPS/i CMT tak, aby príslušným nastavením dĺžky vysunutia docielili optimálne výsledky navárania bez tvorby pórov. </w:t>
      </w:r>
    </w:p>
    <w:p w14:paraId="515BA5EF" w14:textId="77777777" w:rsidR="000E0182" w:rsidRPr="00CE32AC" w:rsidRDefault="000E0182" w:rsidP="000E0182">
      <w:pPr>
        <w:rPr>
          <w:sz w:val="20"/>
          <w:szCs w:val="20"/>
          <w:u w:val="single"/>
        </w:rPr>
      </w:pPr>
      <w:r>
        <w:rPr>
          <w:sz w:val="20"/>
          <w:u w:val="single"/>
        </w:rPr>
        <w:t>Zváracia veža so špičkovými technológiami s vysokokomfortnou obsluhou</w:t>
      </w:r>
    </w:p>
    <w:p w14:paraId="43F9B07E" w14:textId="77777777" w:rsidR="000E0182" w:rsidRPr="00CE32AC" w:rsidRDefault="000E0182" w:rsidP="000E0182">
      <w:pPr>
        <w:rPr>
          <w:sz w:val="20"/>
          <w:szCs w:val="20"/>
        </w:rPr>
      </w:pPr>
      <w:r>
        <w:rPr>
          <w:sz w:val="20"/>
        </w:rPr>
        <w:t>Zvára sa pomocou horizontálnej oscilačnej jednotky zhora nadol v zostupnej polohe (PG). Obe výťahové plošiny sú vybavené zváracou technológiou CMT a majú intuitívne ovládateľnú riadiacu jednotku HMI s dotykovým displejom, kamerou ArcView s monitorom, dvoma zváracími horákmi CMT a ovládačom na dolaďovanie.</w:t>
      </w:r>
    </w:p>
    <w:p w14:paraId="5CF4B67A" w14:textId="77777777" w:rsidR="000E0182" w:rsidRPr="00CE32AC" w:rsidRDefault="000E0182" w:rsidP="000E0182">
      <w:pPr>
        <w:rPr>
          <w:sz w:val="20"/>
          <w:szCs w:val="20"/>
        </w:rPr>
      </w:pPr>
      <w:r>
        <w:rPr>
          <w:sz w:val="20"/>
        </w:rPr>
        <w:t xml:space="preserve">Všetky zváracie horáky sú chladené vodou, pričom teplota zváracích horákov má veľký vplyv na mieru premiešania. Na to, aby sa v žiadnom prípade neprekročila medzná hodnota 3 %, nesmie byť teplota ani privysoká, ani prinízka a vyžaduje precíznu reguláciu prostredníctvom chladiaceho systému zariadenia. </w:t>
      </w:r>
    </w:p>
    <w:p w14:paraId="330944F5" w14:textId="77777777" w:rsidR="000E0182" w:rsidRPr="00CE32AC" w:rsidRDefault="000E0182" w:rsidP="000E0182">
      <w:pPr>
        <w:rPr>
          <w:sz w:val="20"/>
          <w:szCs w:val="20"/>
        </w:rPr>
      </w:pPr>
      <w:r>
        <w:rPr>
          <w:sz w:val="20"/>
        </w:rPr>
        <w:t xml:space="preserve">Optimalizácia zariadenia, ktorú treba spomenúť, je nové pohodlné dolaďovanie polohy zváracieho horáka pomocou ovládača. Pôvodne sa musel zvárací horák uvádzať do polohy ručne pomocou klzných koľajničiek. Preto bolo dolaďovanie takmer nemožné. V každom prípade bol na to potrebný mimoriadny cit. Vďaka kamere ArcView a ovládaču sa dá už dolaďovanie vykonávať pohodlne, rýchlo a na milimeter presne. </w:t>
      </w:r>
    </w:p>
    <w:p w14:paraId="05A72E4B" w14:textId="77777777" w:rsidR="000E0182" w:rsidRPr="00CE32AC" w:rsidRDefault="000E0182" w:rsidP="000E0182">
      <w:pPr>
        <w:rPr>
          <w:sz w:val="20"/>
          <w:szCs w:val="20"/>
        </w:rPr>
      </w:pPr>
      <w:r>
        <w:rPr>
          <w:sz w:val="20"/>
        </w:rPr>
        <w:t xml:space="preserve">Bezpečnosť používateľov zaisťuje odsávanie plynu a dymu zo zvárania na každom zváracom horáku a do tmavočervena ladený záves na ochranu zraku, ktorý oddeľuje obe výťahové plošiny, siaha na celú výšku zariadenia a chráni zváračov pred UV žiarením. </w:t>
      </w:r>
    </w:p>
    <w:p w14:paraId="79A7AB11" w14:textId="77777777" w:rsidR="000E0182" w:rsidRPr="00CE32AC" w:rsidRDefault="000E0182" w:rsidP="000E0182">
      <w:pPr>
        <w:rPr>
          <w:sz w:val="20"/>
          <w:szCs w:val="20"/>
        </w:rPr>
      </w:pPr>
      <w:r>
        <w:rPr>
          <w:sz w:val="20"/>
        </w:rPr>
        <w:lastRenderedPageBreak/>
        <w:t>„Ďalšia dôležitá funkcia systému spoločnosti Fronius je softvér WeldCube na spravovanie zváracích údajov,“ objasňuje na záver p. Osuch. „Počas navárania zaznamenáva WeldCube všetky údaje o procese. Zaevidované informácie nám pomáhajú pri spravovaní procesov. Sme zo zariadením na naváranie od spoločnosti Fronius veľmi spokojní a rozhodli sme sa pre kúpu ďalšieho zariadenia.“</w:t>
      </w:r>
    </w:p>
    <w:p w14:paraId="305A9161" w14:textId="77777777" w:rsidR="000E0182" w:rsidRPr="00CE32AC" w:rsidRDefault="000E0182" w:rsidP="000E0182">
      <w:pPr>
        <w:rPr>
          <w:sz w:val="20"/>
          <w:szCs w:val="20"/>
          <w:u w:val="single"/>
        </w:rPr>
      </w:pPr>
      <w:r>
        <w:rPr>
          <w:sz w:val="20"/>
          <w:u w:val="single"/>
        </w:rPr>
        <w:t>Plus pre životné prostredie</w:t>
      </w:r>
    </w:p>
    <w:p w14:paraId="31792946" w14:textId="77777777" w:rsidR="000E0182" w:rsidRDefault="000E0182" w:rsidP="000E0182">
      <w:pPr>
        <w:rPr>
          <w:sz w:val="20"/>
        </w:rPr>
      </w:pPr>
      <w:r>
        <w:rPr>
          <w:sz w:val="20"/>
        </w:rPr>
        <w:t>Podnik FAKOP produkuje nielen vysokokvalitné membránové steny a vodorúrkové kotly, ale vďaka svojim produktom pre spaľovne aj významne prispieva k trvalo udržateľnému odpadovému hospodárstvu. Podľa údajov Medzinárodného združenia pre pevný odpad (International Solid Waste Association, ISWA) sa po celom svete vyprodukuje asi 7 – 10 miliárd ton domového odpadu. Väčšina z neho končí na skládke odpadu. Vzniká pritom metán, ktorý je ako skleníkový plyn 20-krát škodlivejší ako oxid uhličitý. Zariadenia na tepelné zhodnotenie odpadu sú účinnou alternatívou na zníženie emisií skleníkových plynov a prispievajú k výrobe prúdu a systémového tepla, čo prispieva aj k podpore obehového hospodárstva.</w:t>
      </w:r>
    </w:p>
    <w:p w14:paraId="30EE55E3" w14:textId="35C44F06" w:rsidR="004C3056" w:rsidRPr="00D05513" w:rsidRDefault="000E0182" w:rsidP="000E0182">
      <w:pPr>
        <w:rPr>
          <w:b/>
          <w:sz w:val="20"/>
          <w:szCs w:val="20"/>
        </w:rPr>
      </w:pPr>
      <w:r>
        <w:rPr>
          <w:i/>
          <w:sz w:val="20"/>
          <w:szCs w:val="20"/>
        </w:rPr>
        <w:t>7 180</w:t>
      </w:r>
      <w:r w:rsidR="00D05513" w:rsidRPr="00D05513">
        <w:rPr>
          <w:i/>
          <w:sz w:val="20"/>
          <w:szCs w:val="20"/>
        </w:rPr>
        <w:t xml:space="preserve"> znakov vrátane medzier</w:t>
      </w:r>
      <w:r w:rsidR="00D05513" w:rsidRPr="00D05513">
        <w:rPr>
          <w:b/>
          <w:sz w:val="20"/>
          <w:szCs w:val="20"/>
        </w:rPr>
        <w:br/>
      </w:r>
      <w:r w:rsidR="00D05513" w:rsidRPr="00D05513">
        <w:rPr>
          <w:b/>
          <w:sz w:val="20"/>
          <w:szCs w:val="20"/>
        </w:rPr>
        <w:br/>
      </w:r>
      <w:proofErr w:type="spellStart"/>
      <w:r w:rsidR="00D05513" w:rsidRPr="00D05513">
        <w:rPr>
          <w:sz w:val="20"/>
          <w:szCs w:val="20"/>
          <w:lang w:val="de-DE"/>
        </w:rPr>
        <w:t>Obrázky</w:t>
      </w:r>
      <w:proofErr w:type="spellEnd"/>
      <w:r w:rsidR="00D05513" w:rsidRPr="00D05513">
        <w:rPr>
          <w:sz w:val="20"/>
          <w:szCs w:val="20"/>
          <w:lang w:val="de-DE"/>
        </w:rPr>
        <w:t xml:space="preserve"> </w:t>
      </w:r>
      <w:proofErr w:type="spellStart"/>
      <w:r w:rsidR="00D05513" w:rsidRPr="00D05513">
        <w:rPr>
          <w:sz w:val="20"/>
          <w:szCs w:val="20"/>
          <w:lang w:val="de-DE"/>
        </w:rPr>
        <w:t>vo</w:t>
      </w:r>
      <w:proofErr w:type="spellEnd"/>
      <w:r w:rsidR="00D05513" w:rsidRPr="00D05513">
        <w:rPr>
          <w:sz w:val="20"/>
          <w:szCs w:val="20"/>
          <w:lang w:val="de-DE"/>
        </w:rPr>
        <w:t xml:space="preserve"> </w:t>
      </w:r>
      <w:proofErr w:type="spellStart"/>
      <w:r w:rsidR="00D05513" w:rsidRPr="00D05513">
        <w:rPr>
          <w:sz w:val="20"/>
          <w:szCs w:val="20"/>
          <w:lang w:val="de-DE"/>
        </w:rPr>
        <w:t>vysokom</w:t>
      </w:r>
      <w:proofErr w:type="spellEnd"/>
      <w:r w:rsidR="00D05513" w:rsidRPr="00D05513">
        <w:rPr>
          <w:sz w:val="20"/>
          <w:szCs w:val="20"/>
          <w:lang w:val="de-DE"/>
        </w:rPr>
        <w:t xml:space="preserve"> </w:t>
      </w:r>
      <w:proofErr w:type="spellStart"/>
      <w:r w:rsidR="00D05513" w:rsidRPr="00D05513">
        <w:rPr>
          <w:sz w:val="20"/>
          <w:szCs w:val="20"/>
          <w:lang w:val="de-DE"/>
        </w:rPr>
        <w:t>rozlíšení</w:t>
      </w:r>
      <w:proofErr w:type="spellEnd"/>
      <w:r w:rsidR="00D05513" w:rsidRPr="00D05513">
        <w:rPr>
          <w:sz w:val="20"/>
          <w:szCs w:val="20"/>
          <w:lang w:val="de-DE"/>
        </w:rPr>
        <w:t xml:space="preserve"> </w:t>
      </w:r>
      <w:proofErr w:type="spellStart"/>
      <w:r w:rsidR="00D05513" w:rsidRPr="00D05513">
        <w:rPr>
          <w:sz w:val="20"/>
          <w:szCs w:val="20"/>
          <w:lang w:val="de-DE"/>
        </w:rPr>
        <w:t>nájdete</w:t>
      </w:r>
      <w:proofErr w:type="spellEnd"/>
      <w:r w:rsidR="00D05513" w:rsidRPr="00D05513">
        <w:rPr>
          <w:sz w:val="20"/>
          <w:szCs w:val="20"/>
          <w:lang w:val="de-DE"/>
        </w:rPr>
        <w:t xml:space="preserve"> na </w:t>
      </w:r>
      <w:proofErr w:type="spellStart"/>
      <w:r w:rsidR="00D05513" w:rsidRPr="00D05513">
        <w:rPr>
          <w:sz w:val="20"/>
          <w:szCs w:val="20"/>
          <w:lang w:val="de-DE"/>
        </w:rPr>
        <w:t>stiahnutie</w:t>
      </w:r>
      <w:proofErr w:type="spellEnd"/>
      <w:r w:rsidR="00D05513" w:rsidRPr="00D05513">
        <w:rPr>
          <w:sz w:val="20"/>
          <w:szCs w:val="20"/>
          <w:lang w:val="de-DE"/>
        </w:rPr>
        <w:t xml:space="preserve"> </w:t>
      </w:r>
      <w:proofErr w:type="spellStart"/>
      <w:r w:rsidR="00D05513" w:rsidRPr="00D05513">
        <w:rPr>
          <w:sz w:val="20"/>
          <w:szCs w:val="20"/>
          <w:lang w:val="de-DE"/>
        </w:rPr>
        <w:t>po</w:t>
      </w:r>
      <w:proofErr w:type="spellEnd"/>
      <w:r w:rsidR="00D05513" w:rsidRPr="00D05513">
        <w:rPr>
          <w:sz w:val="20"/>
          <w:szCs w:val="20"/>
          <w:lang w:val="de-DE"/>
        </w:rPr>
        <w:t xml:space="preserve"> </w:t>
      </w:r>
      <w:proofErr w:type="spellStart"/>
      <w:r w:rsidR="00D05513" w:rsidRPr="00D05513">
        <w:rPr>
          <w:sz w:val="20"/>
          <w:szCs w:val="20"/>
          <w:lang w:val="de-DE"/>
        </w:rPr>
        <w:t>kliknutí</w:t>
      </w:r>
      <w:proofErr w:type="spellEnd"/>
      <w:r w:rsidR="00D05513" w:rsidRPr="00D05513">
        <w:rPr>
          <w:sz w:val="20"/>
          <w:szCs w:val="20"/>
          <w:lang w:val="de-DE"/>
        </w:rPr>
        <w:t xml:space="preserve"> na </w:t>
      </w:r>
      <w:proofErr w:type="spellStart"/>
      <w:r w:rsidR="00D05513" w:rsidRPr="00D05513">
        <w:rPr>
          <w:sz w:val="20"/>
          <w:szCs w:val="20"/>
          <w:lang w:val="de-DE"/>
        </w:rPr>
        <w:t>tento</w:t>
      </w:r>
      <w:proofErr w:type="spellEnd"/>
      <w:r w:rsidR="00D05513" w:rsidRPr="00D05513">
        <w:rPr>
          <w:sz w:val="20"/>
          <w:szCs w:val="20"/>
          <w:lang w:val="de-DE"/>
        </w:rPr>
        <w:t xml:space="preserve"> </w:t>
      </w:r>
      <w:proofErr w:type="spellStart"/>
      <w:r w:rsidR="00D05513" w:rsidRPr="00D05513">
        <w:rPr>
          <w:sz w:val="20"/>
          <w:szCs w:val="20"/>
          <w:lang w:val="de-DE"/>
        </w:rPr>
        <w:t>odkaz</w:t>
      </w:r>
      <w:proofErr w:type="spellEnd"/>
      <w:r w:rsidR="00D05513" w:rsidRPr="00D05513">
        <w:rPr>
          <w:sz w:val="20"/>
          <w:szCs w:val="20"/>
          <w:lang w:val="de-DE"/>
        </w:rPr>
        <w:t>:</w:t>
      </w:r>
      <w:r w:rsidR="00D05513">
        <w:rPr>
          <w:sz w:val="20"/>
          <w:szCs w:val="20"/>
          <w:lang w:val="de-DE"/>
        </w:rPr>
        <w:br/>
      </w:r>
      <w:hyperlink r:id="rId6" w:history="1">
        <w:r w:rsidR="00D05513" w:rsidRPr="00106608">
          <w:rPr>
            <w:rStyle w:val="Hyperlink"/>
            <w:sz w:val="20"/>
            <w:szCs w:val="20"/>
            <w:lang w:val="de-DE"/>
          </w:rPr>
          <w:t>https://www.fronius.com/sk-sk/slovakia/zvaracia-technika/aktuality/tlac</w:t>
        </w:r>
      </w:hyperlink>
    </w:p>
    <w:p w14:paraId="3B399221" w14:textId="77777777" w:rsidR="00D05513" w:rsidRDefault="00D05513">
      <w:pPr>
        <w:pStyle w:val="berschrift4"/>
        <w:jc w:val="both"/>
        <w:rPr>
          <w:sz w:val="20"/>
        </w:rPr>
      </w:pPr>
    </w:p>
    <w:p w14:paraId="0F7F72D4" w14:textId="77777777" w:rsidR="00D05513" w:rsidRDefault="00D05513">
      <w:pPr>
        <w:pStyle w:val="berschrift4"/>
        <w:jc w:val="both"/>
        <w:rPr>
          <w:sz w:val="20"/>
        </w:rPr>
      </w:pPr>
    </w:p>
    <w:p w14:paraId="54C0DAF4" w14:textId="5C359AC6" w:rsidR="00ED5042" w:rsidRDefault="00B801F9">
      <w:pPr>
        <w:pStyle w:val="berschrift4"/>
        <w:jc w:val="both"/>
        <w:rPr>
          <w:sz w:val="20"/>
          <w:szCs w:val="20"/>
        </w:rPr>
      </w:pPr>
      <w:r>
        <w:rPr>
          <w:sz w:val="20"/>
        </w:rPr>
        <w:t>Prehľad obrazového materiálu</w:t>
      </w:r>
    </w:p>
    <w:p w14:paraId="288643B8" w14:textId="77777777" w:rsidR="000E0182" w:rsidRDefault="000E0182" w:rsidP="000E0182">
      <w:pPr>
        <w:jc w:val="both"/>
        <w:rPr>
          <w:noProof/>
        </w:rPr>
      </w:pPr>
    </w:p>
    <w:p w14:paraId="41E0A902" w14:textId="0175513C" w:rsidR="000E0182" w:rsidRPr="000E0182" w:rsidRDefault="000E0182" w:rsidP="000E0182">
      <w:pPr>
        <w:rPr>
          <w:sz w:val="18"/>
          <w:szCs w:val="18"/>
        </w:rPr>
      </w:pPr>
      <w:r w:rsidRPr="00CE32AC">
        <w:rPr>
          <w:noProof/>
        </w:rPr>
        <w:drawing>
          <wp:anchor distT="0" distB="0" distL="114300" distR="114300" simplePos="0" relativeHeight="251659264" behindDoc="0" locked="0" layoutInCell="1" allowOverlap="1" wp14:anchorId="035BEFC2" wp14:editId="79098817">
            <wp:simplePos x="0" y="0"/>
            <wp:positionH relativeFrom="column">
              <wp:posOffset>1448</wp:posOffset>
            </wp:positionH>
            <wp:positionV relativeFrom="paragraph">
              <wp:posOffset>-5</wp:posOffset>
            </wp:positionV>
            <wp:extent cx="2198455" cy="14668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9C767E">
        <w:t xml:space="preserve"> </w:t>
      </w:r>
      <w:r w:rsidRPr="000E0182">
        <w:rPr>
          <w:sz w:val="18"/>
          <w:szCs w:val="18"/>
        </w:rPr>
        <w:t>Arkadiusz Osuch, riaditeľ spoločnosti FAKOP</w:t>
      </w:r>
    </w:p>
    <w:p w14:paraId="62C09049" w14:textId="77777777" w:rsidR="000E0182" w:rsidRDefault="000E0182" w:rsidP="000E0182">
      <w:pPr>
        <w:jc w:val="both"/>
        <w:rPr>
          <w:sz w:val="16"/>
          <w:szCs w:val="16"/>
        </w:rPr>
      </w:pPr>
    </w:p>
    <w:p w14:paraId="106C2334" w14:textId="77777777" w:rsidR="000E0182" w:rsidRDefault="000E0182" w:rsidP="000E0182">
      <w:pPr>
        <w:jc w:val="both"/>
        <w:rPr>
          <w:sz w:val="16"/>
          <w:szCs w:val="16"/>
        </w:rPr>
      </w:pPr>
    </w:p>
    <w:p w14:paraId="1F8F3DD6" w14:textId="77777777" w:rsidR="000E0182" w:rsidRDefault="000E0182" w:rsidP="000E0182">
      <w:pPr>
        <w:jc w:val="both"/>
        <w:rPr>
          <w:sz w:val="16"/>
          <w:szCs w:val="16"/>
        </w:rPr>
      </w:pPr>
    </w:p>
    <w:p w14:paraId="5543FA35" w14:textId="77777777" w:rsidR="000E0182" w:rsidRDefault="000E0182" w:rsidP="000E0182">
      <w:pPr>
        <w:jc w:val="both"/>
        <w:rPr>
          <w:sz w:val="16"/>
          <w:szCs w:val="16"/>
        </w:rPr>
      </w:pPr>
    </w:p>
    <w:p w14:paraId="2BE29753" w14:textId="77777777" w:rsidR="000E0182" w:rsidRDefault="000E0182" w:rsidP="000E0182">
      <w:pPr>
        <w:jc w:val="both"/>
        <w:rPr>
          <w:sz w:val="16"/>
          <w:szCs w:val="16"/>
        </w:rPr>
      </w:pPr>
    </w:p>
    <w:p w14:paraId="0F694E14" w14:textId="4F67A8DE" w:rsidR="000E0182" w:rsidRPr="000E0182" w:rsidRDefault="000E0182" w:rsidP="000E0182">
      <w:pPr>
        <w:rPr>
          <w:sz w:val="18"/>
          <w:szCs w:val="18"/>
        </w:rPr>
      </w:pPr>
      <w:r w:rsidRPr="009C767E">
        <w:rPr>
          <w:noProof/>
          <w:sz w:val="16"/>
          <w:szCs w:val="16"/>
        </w:rPr>
        <w:drawing>
          <wp:anchor distT="0" distB="0" distL="114300" distR="114300" simplePos="0" relativeHeight="251660288" behindDoc="0" locked="0" layoutInCell="1" allowOverlap="1" wp14:anchorId="7DB6D768" wp14:editId="6A72B720">
            <wp:simplePos x="0" y="0"/>
            <wp:positionH relativeFrom="margin">
              <wp:align>left</wp:align>
            </wp:positionH>
            <wp:positionV relativeFrom="paragraph">
              <wp:posOffset>44578</wp:posOffset>
            </wp:positionV>
            <wp:extent cx="2190115" cy="1461135"/>
            <wp:effectExtent l="0" t="0" r="635" b="571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5520" cy="14648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E0182">
        <w:rPr>
          <w:sz w:val="20"/>
        </w:rPr>
        <w:t xml:space="preserve"> </w:t>
      </w:r>
      <w:r w:rsidRPr="000E0182">
        <w:rPr>
          <w:sz w:val="18"/>
          <w:szCs w:val="18"/>
        </w:rPr>
        <w:t xml:space="preserve">Jaroslaw Olej, hlavný expert na zváranie </w:t>
      </w:r>
    </w:p>
    <w:p w14:paraId="2ED41D5A" w14:textId="55E50E6F" w:rsidR="000E0182" w:rsidRPr="009C767E" w:rsidRDefault="000E0182" w:rsidP="000E0182">
      <w:pPr>
        <w:rPr>
          <w:sz w:val="16"/>
          <w:szCs w:val="16"/>
        </w:rPr>
      </w:pPr>
      <w:r w:rsidRPr="009C767E">
        <w:rPr>
          <w:sz w:val="16"/>
          <w:szCs w:val="16"/>
        </w:rPr>
        <w:t xml:space="preserve"> </w:t>
      </w:r>
    </w:p>
    <w:p w14:paraId="1A76C324" w14:textId="77777777" w:rsidR="000E0182" w:rsidRDefault="000E0182" w:rsidP="000E0182">
      <w:pPr>
        <w:jc w:val="both"/>
        <w:rPr>
          <w:sz w:val="16"/>
          <w:szCs w:val="16"/>
        </w:rPr>
      </w:pPr>
    </w:p>
    <w:p w14:paraId="5928ED74" w14:textId="77777777" w:rsidR="000E0182" w:rsidRDefault="000E0182" w:rsidP="000E0182">
      <w:pPr>
        <w:jc w:val="both"/>
        <w:rPr>
          <w:sz w:val="16"/>
          <w:szCs w:val="16"/>
        </w:rPr>
      </w:pPr>
    </w:p>
    <w:p w14:paraId="122A6FE2" w14:textId="77777777" w:rsidR="000E0182" w:rsidRDefault="000E0182" w:rsidP="000E0182">
      <w:pPr>
        <w:jc w:val="both"/>
        <w:rPr>
          <w:sz w:val="16"/>
          <w:szCs w:val="16"/>
        </w:rPr>
      </w:pPr>
    </w:p>
    <w:p w14:paraId="0112E46E" w14:textId="77777777" w:rsidR="000E0182" w:rsidRDefault="000E0182" w:rsidP="000E0182">
      <w:pPr>
        <w:jc w:val="both"/>
        <w:rPr>
          <w:sz w:val="16"/>
          <w:szCs w:val="16"/>
        </w:rPr>
      </w:pPr>
    </w:p>
    <w:p w14:paraId="4CD213B2" w14:textId="77777777" w:rsidR="000E0182" w:rsidRDefault="000E0182" w:rsidP="000E0182">
      <w:pPr>
        <w:jc w:val="both"/>
        <w:rPr>
          <w:sz w:val="16"/>
          <w:szCs w:val="16"/>
        </w:rPr>
      </w:pPr>
    </w:p>
    <w:p w14:paraId="324A754C" w14:textId="77777777" w:rsidR="000E0182" w:rsidRDefault="000E0182" w:rsidP="000E0182">
      <w:pPr>
        <w:jc w:val="both"/>
        <w:rPr>
          <w:sz w:val="16"/>
          <w:szCs w:val="16"/>
        </w:rPr>
      </w:pPr>
    </w:p>
    <w:p w14:paraId="6D82BD8C" w14:textId="77777777" w:rsidR="000E0182" w:rsidRDefault="000E0182" w:rsidP="000E0182">
      <w:pPr>
        <w:jc w:val="both"/>
        <w:rPr>
          <w:sz w:val="16"/>
          <w:szCs w:val="16"/>
        </w:rPr>
      </w:pPr>
    </w:p>
    <w:p w14:paraId="4BAE9500" w14:textId="0E788A5D" w:rsidR="000E0182" w:rsidRPr="000E0182" w:rsidRDefault="000E0182" w:rsidP="000E0182">
      <w:pPr>
        <w:rPr>
          <w:noProof/>
          <w:sz w:val="18"/>
          <w:szCs w:val="18"/>
        </w:rPr>
      </w:pPr>
      <w:r w:rsidRPr="00CE32AC">
        <w:rPr>
          <w:noProof/>
          <w:szCs w:val="20"/>
        </w:rPr>
        <w:lastRenderedPageBreak/>
        <w:drawing>
          <wp:anchor distT="0" distB="0" distL="114300" distR="114300" simplePos="0" relativeHeight="251661312" behindDoc="0" locked="0" layoutInCell="1" allowOverlap="1" wp14:anchorId="4DE83AB0" wp14:editId="612059A3">
            <wp:simplePos x="0" y="0"/>
            <wp:positionH relativeFrom="column">
              <wp:posOffset>1448</wp:posOffset>
            </wp:positionH>
            <wp:positionV relativeFrom="paragraph">
              <wp:posOffset>1448</wp:posOffset>
            </wp:positionV>
            <wp:extent cx="2109923" cy="1407781"/>
            <wp:effectExtent l="0" t="0" r="5080" b="25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r w:rsidRPr="009C767E">
        <w:t xml:space="preserve"> </w:t>
      </w:r>
      <w:r w:rsidRPr="000E0182">
        <w:rPr>
          <w:sz w:val="18"/>
          <w:szCs w:val="18"/>
        </w:rPr>
        <w:t xml:space="preserve">Piotr Ogórek, expert na technológie a vývoj </w:t>
      </w:r>
    </w:p>
    <w:p w14:paraId="039705A2" w14:textId="77777777" w:rsidR="000E0182" w:rsidRDefault="000E0182" w:rsidP="000E0182">
      <w:pPr>
        <w:rPr>
          <w:noProof/>
          <w:szCs w:val="20"/>
        </w:rPr>
      </w:pPr>
    </w:p>
    <w:p w14:paraId="53BFC927" w14:textId="77777777" w:rsidR="000E0182" w:rsidRDefault="000E0182" w:rsidP="000E0182">
      <w:pPr>
        <w:rPr>
          <w:noProof/>
          <w:szCs w:val="20"/>
        </w:rPr>
      </w:pPr>
    </w:p>
    <w:p w14:paraId="7F94CAEF" w14:textId="77777777" w:rsidR="000E0182" w:rsidRDefault="000E0182" w:rsidP="000E0182">
      <w:pPr>
        <w:rPr>
          <w:noProof/>
          <w:szCs w:val="20"/>
        </w:rPr>
      </w:pPr>
    </w:p>
    <w:p w14:paraId="0A3A3700" w14:textId="77777777" w:rsidR="000E0182" w:rsidRDefault="000E0182" w:rsidP="000E0182">
      <w:pPr>
        <w:rPr>
          <w:noProof/>
          <w:szCs w:val="20"/>
        </w:rPr>
      </w:pPr>
    </w:p>
    <w:p w14:paraId="5EFFB493" w14:textId="593F066D" w:rsidR="000E0182" w:rsidRPr="000E0182" w:rsidRDefault="000E0182" w:rsidP="000E0182">
      <w:pPr>
        <w:rPr>
          <w:sz w:val="18"/>
          <w:szCs w:val="18"/>
        </w:rPr>
      </w:pPr>
      <w:r w:rsidRPr="00CE32AC">
        <w:rPr>
          <w:noProof/>
          <w:szCs w:val="20"/>
        </w:rPr>
        <w:drawing>
          <wp:anchor distT="0" distB="0" distL="114300" distR="114300" simplePos="0" relativeHeight="251662336" behindDoc="0" locked="0" layoutInCell="1" allowOverlap="1" wp14:anchorId="311BAB0A" wp14:editId="3BF3FBB3">
            <wp:simplePos x="0" y="0"/>
            <wp:positionH relativeFrom="margin">
              <wp:align>left</wp:align>
            </wp:positionH>
            <wp:positionV relativeFrom="paragraph">
              <wp:posOffset>130810</wp:posOffset>
            </wp:positionV>
            <wp:extent cx="2109470" cy="1409812"/>
            <wp:effectExtent l="0" t="0" r="508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Pr>
          <w:noProof/>
          <w:szCs w:val="20"/>
        </w:rPr>
        <w:br/>
      </w:r>
      <w:r w:rsidRPr="000E0182">
        <w:rPr>
          <w:sz w:val="18"/>
          <w:szCs w:val="18"/>
        </w:rPr>
        <w:t>Naváracia veža CMT: membránové steny sa upevňujú, pohľad na plošinu</w:t>
      </w:r>
    </w:p>
    <w:p w14:paraId="12BF4DA3" w14:textId="77777777" w:rsidR="000E0182" w:rsidRDefault="000E0182" w:rsidP="000E0182">
      <w:pPr>
        <w:jc w:val="both"/>
        <w:rPr>
          <w:sz w:val="16"/>
          <w:szCs w:val="16"/>
        </w:rPr>
      </w:pPr>
    </w:p>
    <w:p w14:paraId="50121EB6" w14:textId="77777777" w:rsidR="000E0182" w:rsidRDefault="000E0182" w:rsidP="000E0182">
      <w:pPr>
        <w:jc w:val="both"/>
        <w:rPr>
          <w:sz w:val="16"/>
          <w:szCs w:val="16"/>
        </w:rPr>
      </w:pPr>
    </w:p>
    <w:p w14:paraId="6231044E" w14:textId="77777777" w:rsidR="000E0182" w:rsidRDefault="000E0182" w:rsidP="000E0182">
      <w:pPr>
        <w:jc w:val="both"/>
        <w:rPr>
          <w:sz w:val="16"/>
          <w:szCs w:val="16"/>
        </w:rPr>
      </w:pPr>
    </w:p>
    <w:p w14:paraId="0D7F1C86" w14:textId="77777777" w:rsidR="000E0182" w:rsidRDefault="000E0182" w:rsidP="000E0182">
      <w:pPr>
        <w:jc w:val="both"/>
        <w:rPr>
          <w:sz w:val="16"/>
          <w:szCs w:val="16"/>
        </w:rPr>
      </w:pPr>
    </w:p>
    <w:p w14:paraId="607601A4" w14:textId="33FD1112" w:rsidR="000E0182" w:rsidRPr="000E0182" w:rsidRDefault="000E0182" w:rsidP="000E0182">
      <w:pPr>
        <w:rPr>
          <w:sz w:val="18"/>
          <w:szCs w:val="18"/>
        </w:rPr>
      </w:pPr>
      <w:r w:rsidRPr="00CE32AC">
        <w:rPr>
          <w:noProof/>
          <w:szCs w:val="20"/>
        </w:rPr>
        <w:drawing>
          <wp:anchor distT="0" distB="0" distL="114300" distR="114300" simplePos="0" relativeHeight="251663360" behindDoc="0" locked="0" layoutInCell="1" allowOverlap="1" wp14:anchorId="222D2400" wp14:editId="38CAE06D">
            <wp:simplePos x="0" y="0"/>
            <wp:positionH relativeFrom="margin">
              <wp:align>left</wp:align>
            </wp:positionH>
            <wp:positionV relativeFrom="paragraph">
              <wp:posOffset>20448</wp:posOffset>
            </wp:positionV>
            <wp:extent cx="2109920" cy="1407781"/>
            <wp:effectExtent l="0" t="0" r="5080" b="254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sidRPr="000E0182">
        <w:rPr>
          <w:sz w:val="20"/>
        </w:rPr>
        <w:t xml:space="preserve"> </w:t>
      </w:r>
      <w:r w:rsidRPr="000E0182">
        <w:rPr>
          <w:sz w:val="18"/>
          <w:szCs w:val="18"/>
        </w:rPr>
        <w:t>Naváracia veža CMT: membránové steny sa naťahujú</w:t>
      </w:r>
    </w:p>
    <w:p w14:paraId="2A29DCED" w14:textId="77777777" w:rsidR="000E0182" w:rsidRPr="000321DE" w:rsidRDefault="000E0182" w:rsidP="000E0182">
      <w:pPr>
        <w:jc w:val="both"/>
        <w:rPr>
          <w:sz w:val="16"/>
          <w:szCs w:val="16"/>
        </w:rPr>
      </w:pPr>
    </w:p>
    <w:p w14:paraId="230D3C9A" w14:textId="77777777" w:rsidR="000E0182" w:rsidRDefault="000E0182" w:rsidP="000E0182">
      <w:pPr>
        <w:rPr>
          <w:sz w:val="16"/>
          <w:szCs w:val="16"/>
        </w:rPr>
      </w:pPr>
    </w:p>
    <w:p w14:paraId="4DDAA4E1" w14:textId="77777777" w:rsidR="000E0182" w:rsidRDefault="000E0182" w:rsidP="000E0182">
      <w:pPr>
        <w:rPr>
          <w:sz w:val="16"/>
          <w:szCs w:val="16"/>
        </w:rPr>
      </w:pPr>
    </w:p>
    <w:p w14:paraId="57F429C6" w14:textId="77777777" w:rsidR="000E0182" w:rsidRDefault="000E0182" w:rsidP="000E0182">
      <w:pPr>
        <w:rPr>
          <w:sz w:val="16"/>
          <w:szCs w:val="16"/>
        </w:rPr>
      </w:pPr>
    </w:p>
    <w:p w14:paraId="4CF36932" w14:textId="77777777" w:rsidR="000E0182" w:rsidRDefault="000E0182" w:rsidP="000E0182">
      <w:pPr>
        <w:rPr>
          <w:sz w:val="16"/>
          <w:szCs w:val="16"/>
        </w:rPr>
      </w:pPr>
    </w:p>
    <w:p w14:paraId="31177BF5" w14:textId="669BB0C8" w:rsidR="000E0182" w:rsidRPr="000E0182" w:rsidRDefault="000E0182" w:rsidP="000E0182">
      <w:pPr>
        <w:rPr>
          <w:sz w:val="18"/>
          <w:szCs w:val="18"/>
        </w:rPr>
      </w:pPr>
      <w:r w:rsidRPr="00CE32AC">
        <w:rPr>
          <w:noProof/>
          <w:szCs w:val="20"/>
        </w:rPr>
        <w:drawing>
          <wp:anchor distT="0" distB="0" distL="114300" distR="114300" simplePos="0" relativeHeight="251664384" behindDoc="0" locked="0" layoutInCell="1" allowOverlap="1" wp14:anchorId="5A1099ED" wp14:editId="49EDFB41">
            <wp:simplePos x="0" y="0"/>
            <wp:positionH relativeFrom="margin">
              <wp:align>left</wp:align>
            </wp:positionH>
            <wp:positionV relativeFrom="paragraph">
              <wp:posOffset>40617</wp:posOffset>
            </wp:positionV>
            <wp:extent cx="2118251" cy="1412245"/>
            <wp:effectExtent l="0" t="0" r="0"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0E0182">
        <w:rPr>
          <w:sz w:val="20"/>
        </w:rPr>
        <w:t xml:space="preserve"> </w:t>
      </w:r>
      <w:r w:rsidRPr="000E0182">
        <w:rPr>
          <w:sz w:val="18"/>
          <w:szCs w:val="18"/>
        </w:rPr>
        <w:t>Naváracia veža CMT: pohľad na postup navárania</w:t>
      </w:r>
    </w:p>
    <w:p w14:paraId="6CFB22D8" w14:textId="77777777" w:rsidR="000E0182" w:rsidRDefault="000E0182" w:rsidP="000E0182">
      <w:pPr>
        <w:rPr>
          <w:sz w:val="16"/>
          <w:szCs w:val="16"/>
        </w:rPr>
      </w:pPr>
    </w:p>
    <w:p w14:paraId="7974A530" w14:textId="77777777" w:rsidR="000E0182" w:rsidRDefault="000E0182" w:rsidP="000E0182">
      <w:pPr>
        <w:rPr>
          <w:sz w:val="16"/>
          <w:szCs w:val="16"/>
        </w:rPr>
      </w:pPr>
    </w:p>
    <w:p w14:paraId="0AF211DC" w14:textId="77777777" w:rsidR="000E0182" w:rsidRDefault="000E0182" w:rsidP="000E0182">
      <w:pPr>
        <w:rPr>
          <w:sz w:val="16"/>
          <w:szCs w:val="16"/>
        </w:rPr>
      </w:pPr>
    </w:p>
    <w:p w14:paraId="03A3DC4C" w14:textId="77777777" w:rsidR="000E0182" w:rsidRDefault="000E0182" w:rsidP="000E0182">
      <w:pPr>
        <w:jc w:val="both"/>
        <w:rPr>
          <w:sz w:val="16"/>
          <w:szCs w:val="16"/>
        </w:rPr>
      </w:pPr>
    </w:p>
    <w:p w14:paraId="40470C00" w14:textId="77777777" w:rsidR="000E0182" w:rsidRDefault="000E0182" w:rsidP="000E0182">
      <w:pPr>
        <w:jc w:val="both"/>
        <w:rPr>
          <w:sz w:val="16"/>
          <w:szCs w:val="16"/>
        </w:rPr>
      </w:pPr>
    </w:p>
    <w:p w14:paraId="00A44547" w14:textId="2FB31811" w:rsidR="000E0182" w:rsidRPr="000E0182" w:rsidRDefault="000E0182" w:rsidP="000E0182">
      <w:pPr>
        <w:rPr>
          <w:sz w:val="18"/>
          <w:szCs w:val="18"/>
        </w:rPr>
      </w:pPr>
      <w:r w:rsidRPr="00CE32AC">
        <w:rPr>
          <w:noProof/>
          <w:szCs w:val="20"/>
        </w:rPr>
        <w:drawing>
          <wp:anchor distT="0" distB="0" distL="114300" distR="114300" simplePos="0" relativeHeight="251665408" behindDoc="0" locked="0" layoutInCell="1" allowOverlap="1" wp14:anchorId="49CCC481" wp14:editId="4F9B652D">
            <wp:simplePos x="0" y="0"/>
            <wp:positionH relativeFrom="margin">
              <wp:align>left</wp:align>
            </wp:positionH>
            <wp:positionV relativeFrom="paragraph">
              <wp:posOffset>60325</wp:posOffset>
            </wp:positionV>
            <wp:extent cx="2120900" cy="1414145"/>
            <wp:effectExtent l="0" t="0" r="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E0182">
        <w:rPr>
          <w:sz w:val="18"/>
          <w:szCs w:val="18"/>
        </w:rPr>
        <w:t>Naváracia veža CMT: zváracie horáky s odsávaním plynu a dymu zo zvárania</w:t>
      </w:r>
    </w:p>
    <w:p w14:paraId="39027023" w14:textId="77777777" w:rsidR="000E0182" w:rsidRDefault="000E0182" w:rsidP="000E0182">
      <w:pPr>
        <w:jc w:val="both"/>
        <w:rPr>
          <w:sz w:val="16"/>
          <w:szCs w:val="16"/>
        </w:rPr>
      </w:pPr>
    </w:p>
    <w:p w14:paraId="2D94C329" w14:textId="77777777" w:rsidR="000E0182" w:rsidRDefault="000E0182" w:rsidP="000E0182">
      <w:pPr>
        <w:jc w:val="both"/>
        <w:rPr>
          <w:sz w:val="16"/>
          <w:szCs w:val="16"/>
        </w:rPr>
      </w:pPr>
    </w:p>
    <w:p w14:paraId="3F0FD609" w14:textId="77777777" w:rsidR="000E0182" w:rsidRPr="000321DE" w:rsidRDefault="000E0182" w:rsidP="000E0182">
      <w:pPr>
        <w:rPr>
          <w:sz w:val="16"/>
          <w:szCs w:val="16"/>
        </w:rPr>
      </w:pPr>
    </w:p>
    <w:p w14:paraId="5D92DE73" w14:textId="77777777" w:rsidR="000E0182" w:rsidRDefault="000E0182" w:rsidP="000E0182">
      <w:pPr>
        <w:rPr>
          <w:sz w:val="16"/>
          <w:szCs w:val="16"/>
        </w:rPr>
      </w:pPr>
    </w:p>
    <w:p w14:paraId="666CD10B" w14:textId="77777777" w:rsidR="000E0182" w:rsidRDefault="000E0182" w:rsidP="000E0182">
      <w:pPr>
        <w:rPr>
          <w:sz w:val="16"/>
          <w:szCs w:val="16"/>
        </w:rPr>
      </w:pPr>
    </w:p>
    <w:p w14:paraId="6C294D8C" w14:textId="28880396" w:rsidR="00ED5042" w:rsidRDefault="00B801F9">
      <w:pPr>
        <w:jc w:val="both"/>
        <w:rPr>
          <w:i/>
          <w:sz w:val="18"/>
        </w:rPr>
      </w:pPr>
      <w:r>
        <w:rPr>
          <w:i/>
          <w:sz w:val="18"/>
        </w:rPr>
        <w:t>Fotografie: Fronius International GmbH, výtlačok bez nároku na honorár</w:t>
      </w:r>
    </w:p>
    <w:p w14:paraId="16D7B697" w14:textId="77777777" w:rsidR="00D05513" w:rsidRDefault="00D05513" w:rsidP="00D05513">
      <w:pPr>
        <w:spacing w:after="0"/>
        <w:rPr>
          <w:sz w:val="20"/>
          <w:szCs w:val="20"/>
          <w:u w:val="single"/>
        </w:rPr>
      </w:pPr>
    </w:p>
    <w:p w14:paraId="2F56E1BC" w14:textId="77777777" w:rsidR="00D05513" w:rsidRDefault="00D05513" w:rsidP="00D05513">
      <w:pPr>
        <w:spacing w:after="0"/>
        <w:rPr>
          <w:sz w:val="20"/>
          <w:szCs w:val="20"/>
          <w:u w:val="single"/>
        </w:rPr>
      </w:pPr>
    </w:p>
    <w:p w14:paraId="4C111D48" w14:textId="77777777" w:rsidR="000E0182" w:rsidRDefault="000E0182" w:rsidP="00D05513">
      <w:pPr>
        <w:spacing w:after="0"/>
        <w:rPr>
          <w:sz w:val="20"/>
          <w:szCs w:val="20"/>
          <w:u w:val="single"/>
        </w:rPr>
      </w:pPr>
    </w:p>
    <w:p w14:paraId="74527E9E" w14:textId="77777777" w:rsidR="000E0182" w:rsidRDefault="000E0182" w:rsidP="00D05513">
      <w:pPr>
        <w:spacing w:after="0"/>
        <w:rPr>
          <w:sz w:val="20"/>
          <w:szCs w:val="20"/>
          <w:u w:val="single"/>
        </w:rPr>
      </w:pPr>
    </w:p>
    <w:p w14:paraId="22B11D94" w14:textId="77777777" w:rsidR="000E0182" w:rsidRDefault="000E0182" w:rsidP="00D05513">
      <w:pPr>
        <w:spacing w:after="0"/>
        <w:rPr>
          <w:sz w:val="20"/>
          <w:szCs w:val="20"/>
          <w:u w:val="single"/>
        </w:rPr>
      </w:pPr>
    </w:p>
    <w:p w14:paraId="4B15CADA" w14:textId="77777777" w:rsidR="000E0182" w:rsidRDefault="000E0182" w:rsidP="00D05513">
      <w:pPr>
        <w:spacing w:after="0"/>
        <w:rPr>
          <w:sz w:val="20"/>
          <w:szCs w:val="20"/>
          <w:u w:val="single"/>
        </w:rPr>
      </w:pPr>
    </w:p>
    <w:p w14:paraId="7E8CFF2D" w14:textId="77777777" w:rsidR="000E0182" w:rsidRDefault="000E0182" w:rsidP="00D05513">
      <w:pPr>
        <w:spacing w:after="0"/>
        <w:rPr>
          <w:sz w:val="20"/>
          <w:szCs w:val="20"/>
          <w:u w:val="single"/>
        </w:rPr>
      </w:pPr>
    </w:p>
    <w:p w14:paraId="2D96C281" w14:textId="1E13F439" w:rsidR="00D05513" w:rsidRPr="00D05513" w:rsidRDefault="00D05513" w:rsidP="00D05513">
      <w:pPr>
        <w:spacing w:after="0"/>
        <w:rPr>
          <w:sz w:val="20"/>
          <w:szCs w:val="20"/>
          <w:u w:val="single"/>
        </w:rPr>
      </w:pPr>
      <w:r w:rsidRPr="00D05513">
        <w:rPr>
          <w:sz w:val="20"/>
          <w:szCs w:val="20"/>
          <w:u w:val="single"/>
        </w:rPr>
        <w:t>Obchodná jednotka Perfect Welding</w:t>
      </w:r>
    </w:p>
    <w:p w14:paraId="0BB09154" w14:textId="77777777" w:rsidR="00D05513" w:rsidRPr="00D05513" w:rsidRDefault="00D05513" w:rsidP="00D05513">
      <w:pPr>
        <w:spacing w:after="0"/>
        <w:rPr>
          <w:sz w:val="20"/>
          <w:szCs w:val="20"/>
        </w:rPr>
      </w:pPr>
      <w:r w:rsidRPr="00D05513">
        <w:rPr>
          <w:sz w:val="20"/>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0FC3FB6A" w14:textId="77777777" w:rsidR="00D05513" w:rsidRPr="00D05513" w:rsidRDefault="00D05513" w:rsidP="00D05513">
      <w:pPr>
        <w:spacing w:after="0"/>
        <w:rPr>
          <w:sz w:val="20"/>
          <w:szCs w:val="20"/>
        </w:rPr>
      </w:pPr>
    </w:p>
    <w:p w14:paraId="6C90D850" w14:textId="77777777" w:rsidR="00D05513" w:rsidRPr="00D05513" w:rsidRDefault="00D05513" w:rsidP="00D05513">
      <w:pPr>
        <w:spacing w:after="0"/>
        <w:rPr>
          <w:sz w:val="20"/>
          <w:szCs w:val="20"/>
          <w:u w:val="single"/>
        </w:rPr>
      </w:pPr>
      <w:r w:rsidRPr="00D05513">
        <w:rPr>
          <w:sz w:val="20"/>
          <w:szCs w:val="20"/>
          <w:u w:val="single"/>
        </w:rPr>
        <w:t>Fronius International GmbH</w:t>
      </w:r>
    </w:p>
    <w:p w14:paraId="0BC767DB" w14:textId="77777777" w:rsidR="00D05513" w:rsidRPr="00D05513" w:rsidRDefault="00D05513" w:rsidP="00D05513">
      <w:pPr>
        <w:spacing w:after="0"/>
        <w:rPr>
          <w:sz w:val="20"/>
          <w:szCs w:val="20"/>
        </w:rPr>
      </w:pPr>
      <w:r w:rsidRPr="00D05513">
        <w:rPr>
          <w:sz w:val="20"/>
          <w:szCs w:val="20"/>
        </w:rPr>
        <w:t>Fronius International je rakúska spoločnosť so sídlom v Pettenbachu a s ďalšími prevádzkami vo Welse, Thalheime a Sattledte. Spoločnosť celkovo zamestnáva 6 100 zamestnancov a pôsobí v oblasti zváracej techniky, fotovoltiky a systémov nabíjania akumulátorov. Podiel exportu predstavujúci približne 89 percent sa dosahuje vďaka 36 medzinárodným spoločnostiam Fronius a obchodným partnerom/zastúpeniam vo viac ako 60 krajinách. S inovačnými produktmi a službami, ako aj 1.366 udelenými patentmi je spoločnosť Fronius lídrom v inováciách na svetovom trhu.</w:t>
      </w:r>
    </w:p>
    <w:p w14:paraId="0D82C8D7" w14:textId="77777777" w:rsidR="00D05513" w:rsidRPr="00D05513" w:rsidRDefault="00D05513" w:rsidP="00D05513">
      <w:pPr>
        <w:spacing w:after="0"/>
        <w:rPr>
          <w:sz w:val="20"/>
          <w:szCs w:val="20"/>
        </w:rPr>
      </w:pPr>
    </w:p>
    <w:p w14:paraId="6D5F91C8" w14:textId="77777777" w:rsidR="00D05513" w:rsidRPr="00D05513" w:rsidRDefault="00D05513" w:rsidP="00D05513">
      <w:pPr>
        <w:spacing w:after="0"/>
        <w:rPr>
          <w:sz w:val="20"/>
          <w:szCs w:val="20"/>
        </w:rPr>
      </w:pPr>
    </w:p>
    <w:p w14:paraId="06688FE9" w14:textId="77777777" w:rsidR="00D05513" w:rsidRPr="00D05513" w:rsidRDefault="00D05513" w:rsidP="00D05513">
      <w:pPr>
        <w:spacing w:after="0"/>
        <w:rPr>
          <w:sz w:val="20"/>
          <w:szCs w:val="20"/>
          <w:u w:val="single"/>
        </w:rPr>
      </w:pPr>
      <w:r w:rsidRPr="00D05513">
        <w:rPr>
          <w:sz w:val="20"/>
          <w:szCs w:val="20"/>
          <w:u w:val="single"/>
        </w:rPr>
        <w:t>So žiadosťou o ďalšie informácie sa obracajte na:</w:t>
      </w:r>
    </w:p>
    <w:p w14:paraId="746580A2" w14:textId="77777777" w:rsidR="00D05513" w:rsidRPr="00D05513" w:rsidRDefault="00D05513" w:rsidP="00D05513">
      <w:pPr>
        <w:spacing w:after="0"/>
        <w:rPr>
          <w:sz w:val="20"/>
          <w:szCs w:val="20"/>
        </w:rPr>
      </w:pPr>
      <w:r w:rsidRPr="00D05513">
        <w:rPr>
          <w:sz w:val="20"/>
          <w:szCs w:val="20"/>
        </w:rPr>
        <w:t>FRONIUS Slovensko s.r.o.</w:t>
      </w:r>
    </w:p>
    <w:p w14:paraId="7504C062" w14:textId="77777777" w:rsidR="00D05513" w:rsidRPr="00D05513" w:rsidRDefault="00D05513" w:rsidP="00D05513">
      <w:pPr>
        <w:spacing w:after="0"/>
        <w:rPr>
          <w:sz w:val="20"/>
          <w:szCs w:val="20"/>
        </w:rPr>
      </w:pPr>
      <w:r w:rsidRPr="00D05513">
        <w:rPr>
          <w:sz w:val="20"/>
          <w:szCs w:val="20"/>
        </w:rPr>
        <w:t>Karcz Lenka</w:t>
      </w:r>
    </w:p>
    <w:p w14:paraId="5255616B" w14:textId="77777777" w:rsidR="00D05513" w:rsidRPr="00D05513" w:rsidRDefault="00D05513" w:rsidP="00D05513">
      <w:pPr>
        <w:spacing w:after="0"/>
        <w:rPr>
          <w:sz w:val="20"/>
          <w:szCs w:val="20"/>
        </w:rPr>
      </w:pPr>
      <w:r w:rsidRPr="00D05513">
        <w:rPr>
          <w:sz w:val="20"/>
          <w:szCs w:val="20"/>
        </w:rPr>
        <w:t>Tel. +421 0 33/5907570</w:t>
      </w:r>
    </w:p>
    <w:p w14:paraId="30871C6A" w14:textId="77777777" w:rsidR="00D05513" w:rsidRPr="00D05513" w:rsidRDefault="00D05513" w:rsidP="00D05513">
      <w:pPr>
        <w:spacing w:after="0"/>
        <w:rPr>
          <w:sz w:val="20"/>
          <w:szCs w:val="20"/>
        </w:rPr>
      </w:pPr>
      <w:r w:rsidRPr="00D05513">
        <w:rPr>
          <w:sz w:val="20"/>
          <w:szCs w:val="20"/>
        </w:rPr>
        <w:t xml:space="preserve">E-Mail: </w:t>
      </w:r>
      <w:hyperlink r:id="rId14" w:history="1">
        <w:r w:rsidRPr="00D05513">
          <w:rPr>
            <w:sz w:val="20"/>
            <w:szCs w:val="20"/>
          </w:rPr>
          <w:t>karcz.lenka@fronius.com</w:t>
        </w:r>
      </w:hyperlink>
    </w:p>
    <w:p w14:paraId="4A59E07B" w14:textId="77777777" w:rsidR="00D05513" w:rsidRPr="00D05513" w:rsidRDefault="00D05513" w:rsidP="00D05513">
      <w:pPr>
        <w:spacing w:after="0"/>
        <w:rPr>
          <w:sz w:val="20"/>
          <w:szCs w:val="20"/>
        </w:rPr>
      </w:pPr>
    </w:p>
    <w:p w14:paraId="75059D95" w14:textId="77777777" w:rsidR="00D05513" w:rsidRPr="00D05513" w:rsidRDefault="00D05513" w:rsidP="00D05513">
      <w:pPr>
        <w:spacing w:after="0"/>
        <w:rPr>
          <w:sz w:val="20"/>
          <w:szCs w:val="20"/>
        </w:rPr>
      </w:pPr>
    </w:p>
    <w:p w14:paraId="737B413B" w14:textId="77777777" w:rsidR="00D05513" w:rsidRPr="00D05513" w:rsidRDefault="00D05513" w:rsidP="00D05513">
      <w:pPr>
        <w:spacing w:after="0"/>
        <w:rPr>
          <w:sz w:val="20"/>
          <w:szCs w:val="20"/>
          <w:u w:val="single"/>
        </w:rPr>
      </w:pPr>
      <w:r w:rsidRPr="00D05513">
        <w:rPr>
          <w:sz w:val="20"/>
          <w:szCs w:val="20"/>
          <w:u w:val="single"/>
        </w:rPr>
        <w:t>Zašlite dokladový výtlačok do našej agentúry:</w:t>
      </w:r>
    </w:p>
    <w:p w14:paraId="5A82680C" w14:textId="77777777" w:rsidR="00D05513" w:rsidRPr="00D05513" w:rsidRDefault="00D05513" w:rsidP="00D05513">
      <w:pPr>
        <w:spacing w:after="0"/>
        <w:rPr>
          <w:sz w:val="20"/>
          <w:szCs w:val="20"/>
        </w:rPr>
      </w:pPr>
      <w:r w:rsidRPr="00D05513">
        <w:rPr>
          <w:sz w:val="20"/>
          <w:szCs w:val="20"/>
        </w:rPr>
        <w:t>a1kommunikation Schweizer GmbH, pani Kirsten Ludwig,</w:t>
      </w:r>
    </w:p>
    <w:p w14:paraId="57DE78B0" w14:textId="77777777" w:rsidR="00D05513" w:rsidRPr="00D05513" w:rsidRDefault="00D05513" w:rsidP="00D05513">
      <w:pPr>
        <w:spacing w:after="0"/>
        <w:rPr>
          <w:sz w:val="20"/>
          <w:szCs w:val="20"/>
        </w:rPr>
      </w:pPr>
      <w:r w:rsidRPr="00D05513">
        <w:rPr>
          <w:sz w:val="20"/>
          <w:szCs w:val="20"/>
        </w:rPr>
        <w:t>Oberdorfstraße 31 A, 70794 Filderstadt, Deutschland</w:t>
      </w:r>
    </w:p>
    <w:p w14:paraId="0CC8DA19" w14:textId="77777777" w:rsidR="00D05513" w:rsidRPr="00D05513" w:rsidRDefault="00D05513" w:rsidP="00D05513">
      <w:pPr>
        <w:spacing w:after="0"/>
        <w:rPr>
          <w:sz w:val="20"/>
          <w:szCs w:val="20"/>
        </w:rPr>
      </w:pPr>
      <w:r w:rsidRPr="00D05513">
        <w:rPr>
          <w:sz w:val="20"/>
          <w:szCs w:val="20"/>
        </w:rPr>
        <w:t xml:space="preserve">tel.: +49 0 711 9454161-20, </w:t>
      </w:r>
      <w:r w:rsidRPr="00D05513">
        <w:rPr>
          <w:sz w:val="20"/>
          <w:szCs w:val="20"/>
        </w:rPr>
        <w:br/>
        <w:t xml:space="preserve">e-mail: </w:t>
      </w:r>
      <w:hyperlink r:id="rId15" w:history="1">
        <w:r w:rsidRPr="00D05513">
          <w:rPr>
            <w:sz w:val="20"/>
            <w:szCs w:val="20"/>
          </w:rPr>
          <w:t>kirsten.ludwig@a1kommunikation.de</w:t>
        </w:r>
      </w:hyperlink>
    </w:p>
    <w:p w14:paraId="596216FB" w14:textId="77777777" w:rsidR="00D05513" w:rsidRPr="00D05513" w:rsidRDefault="00D05513" w:rsidP="00D05513">
      <w:pPr>
        <w:spacing w:after="0"/>
        <w:rPr>
          <w:sz w:val="20"/>
          <w:szCs w:val="20"/>
        </w:rPr>
      </w:pPr>
    </w:p>
    <w:p w14:paraId="231892FF" w14:textId="77777777" w:rsidR="00D05513" w:rsidRPr="00D05513" w:rsidRDefault="00D05513" w:rsidP="00D05513">
      <w:pPr>
        <w:spacing w:after="0"/>
        <w:rPr>
          <w:sz w:val="20"/>
          <w:szCs w:val="20"/>
        </w:rPr>
      </w:pPr>
    </w:p>
    <w:p w14:paraId="00CC0520" w14:textId="77777777" w:rsidR="00D05513" w:rsidRPr="00D05513" w:rsidRDefault="00D05513" w:rsidP="00D05513">
      <w:pPr>
        <w:spacing w:after="0"/>
        <w:rPr>
          <w:sz w:val="20"/>
          <w:szCs w:val="20"/>
        </w:rPr>
      </w:pPr>
      <w:r w:rsidRPr="00D05513">
        <w:rPr>
          <w:sz w:val="20"/>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2DED50DA" w14:textId="77777777" w:rsidR="00D05513" w:rsidRPr="00D72904" w:rsidRDefault="00D05513" w:rsidP="00D05513">
      <w:pPr>
        <w:rPr>
          <w:sz w:val="16"/>
          <w:szCs w:val="16"/>
        </w:rPr>
      </w:pPr>
    </w:p>
    <w:p w14:paraId="04FE5F32" w14:textId="77777777" w:rsidR="00D05513" w:rsidRDefault="00D05513">
      <w:pPr>
        <w:jc w:val="both"/>
      </w:pPr>
    </w:p>
    <w:sectPr w:rsidR="00D05513" w:rsidSect="00D05513">
      <w:headerReference w:type="default" r:id="rId16"/>
      <w:footerReference w:type="default" r:id="rId17"/>
      <w:pgSz w:w="11900" w:h="16840"/>
      <w:pgMar w:top="1417" w:right="1417" w:bottom="28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6" name="officeArt object" descr="Obrázok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ové pole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Trieda informácií: verejné</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itle:  - Description: Textové pole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 xml:space="preserve">Trieda informácií: verejné</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0182"/>
    <w:rsid w:val="000E624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05513"/>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sk-SK"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sk-SK"/>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sk-SK"/>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sk-SK"/>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D05513"/>
    <w:rPr>
      <w:color w:val="605E5C"/>
      <w:shd w:val="clear" w:color="auto" w:fill="E1DFDD"/>
    </w:rPr>
  </w:style>
  <w:style w:type="character" w:styleId="BesuchterLink">
    <w:name w:val="FollowedHyperlink"/>
    <w:basedOn w:val="Absatz-Standardschriftart"/>
    <w:uiPriority w:val="99"/>
    <w:semiHidden/>
    <w:unhideWhenUsed/>
    <w:rsid w:val="00D05513"/>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fronius.com/sk-sk/slovakia/zvaracia-technika/aktuality/tlac" TargetMode="External"/><Relationship Id="rId11" Type="http://schemas.openxmlformats.org/officeDocument/2006/relationships/image" Target="media/image5.jpeg"/><Relationship Id="rId24" Type="http://schemas.openxmlformats.org/officeDocument/2006/relationships/customXml" Target="../customXml/item5.xml"/><Relationship Id="rId5" Type="http://schemas.openxmlformats.org/officeDocument/2006/relationships/endnotes" Target="endnotes.xml"/><Relationship Id="rId15" Type="http://schemas.openxmlformats.org/officeDocument/2006/relationships/hyperlink" Target="mailto:kirsten.ludwig@a1kommunikation.de"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mailto:karcz.lenka@fronius.com"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36</Value>
    </Country>
    <fro_spid xmlns="dc0c2c3d-e9fc-4a0d-820b-87ab82e65f20">17943;SE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C-138913</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#Automation#CMT#Cladding#Presseinformation#Fakop#Anwenderreportage#Presseaussendung#CMT Cladding#cladding#Press release#application story#press release#automation#cmt#presseinformation#pressrelease#fakop#</MRMKeyWords>
    <title_ti_zh xmlns="dc0c2c3d-e9fc-4a0d-820b-87ab82e65f20">Fakop</title_ti_zh>
    <MRMID xmlns="dc0c2c3d-e9fc-4a0d-820b-87ab82e65f20">M-194268</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98F7FC9D-6ABE-4BAE-BE5E-9AA32A6237CD}"/>
</file>

<file path=customXml/itemProps2.xml><?xml version="1.0" encoding="utf-8"?>
<ds:datastoreItem xmlns:ds="http://schemas.openxmlformats.org/officeDocument/2006/customXml" ds:itemID="{7CF1D311-199F-4514-B364-12DD97558727}"/>
</file>

<file path=customXml/itemProps3.xml><?xml version="1.0" encoding="utf-8"?>
<ds:datastoreItem xmlns:ds="http://schemas.openxmlformats.org/officeDocument/2006/customXml" ds:itemID="{85E6C483-8914-47F8-B3A5-DA84B0BFF101}"/>
</file>

<file path=customXml/itemProps4.xml><?xml version="1.0" encoding="utf-8"?>
<ds:datastoreItem xmlns:ds="http://schemas.openxmlformats.org/officeDocument/2006/customXml" ds:itemID="{AFF99C08-2536-49EE-B8D6-DF4FC13A0344}"/>
</file>

<file path=customXml/itemProps5.xml><?xml version="1.0" encoding="utf-8"?>
<ds:datastoreItem xmlns:ds="http://schemas.openxmlformats.org/officeDocument/2006/customXml" ds:itemID="{3CAB36A0-849B-4A07-8158-81231A36BFC4}"/>
</file>

<file path=docProps/app.xml><?xml version="1.0" encoding="utf-8"?>
<Properties xmlns="http://schemas.openxmlformats.org/officeDocument/2006/extended-properties" xmlns:vt="http://schemas.openxmlformats.org/officeDocument/2006/docPropsVTypes">
  <Template>Normal.dotm</Template>
  <TotalTime>0</TotalTime>
  <Pages>5</Pages>
  <Words>1368</Words>
  <Characters>8622</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9971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PW_PR_Fakop_SK</dc:title>
  <dc:creator>Aitzetmueller Christian</dc:creator>
  <cp:lastModifiedBy>Pointner Karin</cp:lastModifiedBy>
  <cp:revision>5</cp:revision>
  <cp:lastPrinted>2022-10-24T08:11:00Z</cp:lastPrinted>
  <dcterms:created xsi:type="dcterms:W3CDTF">2022-10-25T08:25:00Z</dcterms:created>
  <dcterms:modified xsi:type="dcterms:W3CDTF">2022-12-07T09:57:00Z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268;##SK|5fe4d75c-d3a4-4080-9916-22de550760e6</vt:lpwstr>
  </property>
  <property fmtid="{D5CDD505-2E9C-101B-9397-08002B2CF9AE}" pid="10" name="FroConDoc_language">
    <vt:lpwstr>1;#DE|676160ea-61f7-4cef-8b4c-1724dec2206e</vt:lpwstr>
  </property>
</Properties>
</file>