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EB70C8" w14:textId="77777777" w:rsidR="00ED5042" w:rsidRDefault="00B801F9">
      <w:pPr>
        <w:pStyle w:val="berschrift1"/>
        <w:jc w:val="both"/>
      </w:pPr>
      <w:r>
        <w:t>Informacja prasowa</w:t>
      </w:r>
    </w:p>
    <w:p w14:paraId="3C526E7D" w14:textId="77777777" w:rsidR="00ED5042" w:rsidRDefault="00B801F9">
      <w:pPr>
        <w:jc w:val="both"/>
      </w:pPr>
      <w:r>
        <w:rPr>
          <w:sz w:val="20"/>
        </w:rPr>
        <w:t>Perfect Welding</w:t>
      </w:r>
    </w:p>
    <w:p w14:paraId="41659657" w14:textId="77777777" w:rsidR="00ED5042" w:rsidRDefault="00ED5042">
      <w:pPr>
        <w:jc w:val="both"/>
        <w:rPr>
          <w:sz w:val="20"/>
          <w:szCs w:val="20"/>
        </w:rPr>
      </w:pPr>
    </w:p>
    <w:p w14:paraId="09F8D287" w14:textId="77777777" w:rsidR="00DF0AAD" w:rsidRPr="00436F4B" w:rsidRDefault="00DF0AAD" w:rsidP="00DF0AAD">
      <w:pPr>
        <w:jc w:val="both"/>
      </w:pPr>
      <w:r>
        <w:t>Napawanie ścian szczelnych o wysokości 12 metrów w technologii CMT</w:t>
      </w:r>
    </w:p>
    <w:p w14:paraId="29B1499B" w14:textId="77777777" w:rsidR="00DF0AAD" w:rsidRPr="00DF0AAD" w:rsidRDefault="00DF0AAD" w:rsidP="00DF0AAD">
      <w:pPr>
        <w:rPr>
          <w:caps/>
          <w:color w:val="C00000"/>
          <w:sz w:val="30"/>
          <w:szCs w:val="30"/>
        </w:rPr>
      </w:pPr>
      <w:r w:rsidRPr="00DF0AAD">
        <w:rPr>
          <w:caps/>
          <w:color w:val="C00000"/>
          <w:sz w:val="30"/>
          <w:szCs w:val="20"/>
        </w:rPr>
        <w:t>Wieża do napawania ścian SZCZELNYCH w procesie CMT</w:t>
      </w:r>
    </w:p>
    <w:p w14:paraId="11617A81" w14:textId="77777777" w:rsidR="00DF0AAD" w:rsidRPr="00213403" w:rsidRDefault="00DF0AAD" w:rsidP="00DF0AAD">
      <w:r w:rsidRPr="00213403">
        <w:t>Przedsiębiorstwo przemysłowe SHI FW Energia FAKOP (FAKOP) szczyci się ponad stuletnią tradycją. W 1880 roku Wilhelm Fitzner i Konrad Gamper założyli w Sosnowcu fabrykę kotłów parowych o nazwie „W. Fitzner Dampfkesselfabrik”. Już dwadzieścia lat później, w roku 1900, ta polska fabryka odniosła prawdziwy światowy sukces, zdobywając „Grand Prix” na paryskiej wystawie światowej. W 2009 roku firma FAKOP znowu znalazła się w blasku fleszy dzięki największemu na świecie kotłowi fluidalnemu. Sukcesy z kotłami i bycie liderem w dziedzinie wysokich technologii zobowiązują: do platerowania za pomocą napawania ścian szczelnych o wysokości 12 metrów, stosowanych w instalacjach do spalania odpadów, wybrano rozwiązanie firmy Fronius tj. zautomatyzowaną wieżę do napawania CMT z dwoma platformami dźwigowymi.</w:t>
      </w:r>
    </w:p>
    <w:p w14:paraId="63A56D5E" w14:textId="77777777" w:rsidR="00DF0AAD" w:rsidRPr="00755EE6" w:rsidRDefault="00DF0AAD" w:rsidP="00DF0AAD">
      <w:pPr>
        <w:rPr>
          <w:sz w:val="20"/>
          <w:szCs w:val="20"/>
        </w:rPr>
      </w:pPr>
      <w:r>
        <w:rPr>
          <w:sz w:val="20"/>
        </w:rPr>
        <w:t xml:space="preserve">Ściany szczelne to wykonane z rur i płaskownika powierzchnie ogrzewalne dużych kotłów wodnorurowych stosowanych w energetyce zawodowej i przemysłowej.. Zmieniający się trend paliwowy i spalanie coraz to trudniejszych i agresywnych paliw wymusza projektowanie dodatkowych zabezpieczeń korozyjnych na ścianach szczelnych. Stosowana w tym celu metoda zabezpieczenia jest nazywana napawaniem i jest to najskuteczniejszy sposób ochrony powierzchni rur ścian szczelnych. </w:t>
      </w:r>
    </w:p>
    <w:p w14:paraId="5C61AC6D" w14:textId="77777777" w:rsidR="00DF0AAD" w:rsidRPr="00755EE6" w:rsidRDefault="00DF0AAD" w:rsidP="00DF0AAD">
      <w:pPr>
        <w:rPr>
          <w:sz w:val="20"/>
          <w:szCs w:val="20"/>
        </w:rPr>
      </w:pPr>
      <w:r>
        <w:rPr>
          <w:i/>
          <w:sz w:val="20"/>
        </w:rPr>
        <w:t>„Do powlekania rur ścian szczelnych stosujemy wysoką na 15 metrów wieżę do napawania marki Fronius”,</w:t>
      </w:r>
      <w:r>
        <w:rPr>
          <w:sz w:val="20"/>
        </w:rPr>
        <w:t xml:space="preserve"> wyjaśnia Arkadiusz Osuch, dyrektor FAKOP. </w:t>
      </w:r>
      <w:r>
        <w:rPr>
          <w:i/>
          <w:sz w:val="20"/>
        </w:rPr>
        <w:t>„Umieszcza się na niej dwie wysokie na 12 metrów i szerokie na 1,6 metra panele ściany szczelnych , a podczas pracy wykorzystywane są dwie platformy dźwigowe, z których każda wyposażona jest w innowacyjną technologię napawania CMT”.</w:t>
      </w:r>
      <w:r>
        <w:rPr>
          <w:sz w:val="20"/>
        </w:rPr>
        <w:t xml:space="preserve"> </w:t>
      </w:r>
    </w:p>
    <w:p w14:paraId="2A20C66A" w14:textId="77777777" w:rsidR="00DF0AAD" w:rsidRPr="00755EE6" w:rsidRDefault="00DF0AAD" w:rsidP="00DF0AAD">
      <w:pPr>
        <w:rPr>
          <w:sz w:val="20"/>
          <w:szCs w:val="20"/>
          <w:u w:val="single"/>
        </w:rPr>
      </w:pPr>
      <w:r>
        <w:rPr>
          <w:sz w:val="20"/>
          <w:u w:val="single"/>
        </w:rPr>
        <w:t>Wymieszanie żelaza w stopiwie poniżej 3%</w:t>
      </w:r>
    </w:p>
    <w:p w14:paraId="46688ACD" w14:textId="77777777" w:rsidR="00DF0AAD" w:rsidRDefault="00DF0AAD" w:rsidP="00DF0AAD">
      <w:pPr>
        <w:rPr>
          <w:sz w:val="20"/>
        </w:rPr>
      </w:pPr>
      <w:r>
        <w:rPr>
          <w:sz w:val="20"/>
        </w:rPr>
        <w:t xml:space="preserve">Proces napawania wiąże się z wieloma wyzwaniami. Kluczowe znaczenie na skuteczność ochrony korozyjnej ma stopień wymieszania. Rozumie się przez to wymieszanie materiału podstawowego z napawanym stopem i  dąży się do tego, aby wymieszanie było jak najmniejsze, przy zapewnieniu właściwego przetopienia pomiędzy materiałem bazowym, a powłoką ochronną. Zapewnienie niskiego poziomu wymieszania przekłada się na wydłużoną  żywotność instalacji. </w:t>
      </w:r>
    </w:p>
    <w:p w14:paraId="5F60DDC8" w14:textId="5E480299" w:rsidR="00DF0AAD" w:rsidRPr="00755EE6" w:rsidRDefault="00DF0AAD" w:rsidP="00DF0AAD">
      <w:pPr>
        <w:rPr>
          <w:sz w:val="20"/>
          <w:szCs w:val="20"/>
        </w:rPr>
      </w:pPr>
      <w:r>
        <w:rPr>
          <w:sz w:val="20"/>
        </w:rPr>
        <w:t>Jarosław Olej, starszy specjalista ds. spawania, potwierdza</w:t>
      </w:r>
      <w:r>
        <w:rPr>
          <w:i/>
          <w:sz w:val="20"/>
        </w:rPr>
        <w:t>: „Teraz współczynnik wymieszania wynosi regularnie poniżej 3%”.</w:t>
      </w:r>
      <w:r>
        <w:rPr>
          <w:sz w:val="20"/>
        </w:rPr>
        <w:t xml:space="preserve"> </w:t>
      </w:r>
    </w:p>
    <w:p w14:paraId="222931FA" w14:textId="77777777" w:rsidR="00DF0AAD" w:rsidRPr="00755EE6" w:rsidRDefault="00DF0AAD" w:rsidP="00DF0AAD">
      <w:pPr>
        <w:rPr>
          <w:sz w:val="20"/>
          <w:szCs w:val="20"/>
        </w:rPr>
      </w:pPr>
      <w:r>
        <w:rPr>
          <w:sz w:val="20"/>
        </w:rPr>
        <w:t xml:space="preserve">Zanim zarząd FAKOP zdecydował się na zakup mechanicznego systemu spawania CMT, ściany szczelne były powlekane w innych technikach. </w:t>
      </w:r>
    </w:p>
    <w:p w14:paraId="216F0203" w14:textId="77777777" w:rsidR="00DF0AAD" w:rsidRPr="00755EE6" w:rsidRDefault="00DF0AAD" w:rsidP="00DF0AAD">
      <w:pPr>
        <w:rPr>
          <w:sz w:val="20"/>
          <w:szCs w:val="20"/>
        </w:rPr>
      </w:pPr>
      <w:r>
        <w:rPr>
          <w:sz w:val="20"/>
        </w:rPr>
        <w:t>Aby całkowicie spełnić wysokie wymagania jakości klientów, inżynierowie produkcji spawania w FAKOP już podczas obróbki wstępnej rur paneli szczelnych zwracają uwagę na każdy najmniejszy szczegół. Po wstępnej obróbce powierzchni trafiają one do napawania w stanie całkowicie oczyszczonym z pyłu i rdzy.</w:t>
      </w:r>
    </w:p>
    <w:p w14:paraId="3AACFDCA" w14:textId="77777777" w:rsidR="00DF0AAD" w:rsidRPr="00755EE6" w:rsidRDefault="00DF0AAD" w:rsidP="00DF0AAD">
      <w:pPr>
        <w:rPr>
          <w:sz w:val="20"/>
          <w:szCs w:val="20"/>
          <w:u w:val="single"/>
        </w:rPr>
      </w:pPr>
      <w:r>
        <w:rPr>
          <w:sz w:val="20"/>
          <w:u w:val="single"/>
        </w:rPr>
        <w:lastRenderedPageBreak/>
        <w:t>Proces napawania ma decydujące znaczenie</w:t>
      </w:r>
    </w:p>
    <w:p w14:paraId="1990F9EA" w14:textId="77777777" w:rsidR="00DF0AAD" w:rsidRPr="00755EE6" w:rsidRDefault="00DF0AAD" w:rsidP="00DF0AAD">
      <w:pPr>
        <w:rPr>
          <w:sz w:val="20"/>
          <w:szCs w:val="20"/>
        </w:rPr>
      </w:pPr>
      <w:r>
        <w:rPr>
          <w:sz w:val="20"/>
        </w:rPr>
        <w:t>Istotnym czynnikiem, który przemawiał za zakupem wieży do napawania Fronius, jest zastosowanie technologii CMT. Jej zaleta polega na cyfrowej regulacji procesu, który samodzielnie rozpoznaje zwarcia i przez cofanie drutu wspomaga odrywanie kropel. W ten sposób powstaje ruch do przodu i do tyłu, który zapewnia krótką fazę jarzenia łuku elektrycznego i redukuje wprowadzanie ciepła. Efektem jest przejście materiału, które umożliwia uzyskanie wyniku napawania bez odprysków, z bardzo gładką powierzchnią, równomiernym nakładaniem się spoin oraz stałą grubością warstwy.</w:t>
      </w:r>
    </w:p>
    <w:p w14:paraId="69D03D14" w14:textId="77777777" w:rsidR="00DF0AAD" w:rsidRPr="00755EE6" w:rsidRDefault="00DF0AAD" w:rsidP="00DF0AAD">
      <w:pPr>
        <w:rPr>
          <w:sz w:val="20"/>
          <w:szCs w:val="20"/>
        </w:rPr>
      </w:pPr>
      <w:r>
        <w:rPr>
          <w:sz w:val="20"/>
        </w:rPr>
        <w:t>„</w:t>
      </w:r>
      <w:r>
        <w:rPr>
          <w:i/>
          <w:sz w:val="20"/>
        </w:rPr>
        <w:t>Proces CMT jest obecnie wymagany przez większość naszych klientów”, uzupełnia Jarosław Olej i dodaje: „Można spokojnie powiedzieć, że stał się standardem, a ten, kto potrafi go prawidłowo zastosować, ma duże szanse na rynku”.</w:t>
      </w:r>
      <w:r>
        <w:rPr>
          <w:sz w:val="20"/>
        </w:rPr>
        <w:t xml:space="preserve"> </w:t>
      </w:r>
    </w:p>
    <w:p w14:paraId="74C41582" w14:textId="77777777" w:rsidR="00DF0AAD" w:rsidRPr="00755EE6" w:rsidRDefault="00DF0AAD" w:rsidP="00DF0AAD">
      <w:pPr>
        <w:rPr>
          <w:sz w:val="20"/>
          <w:szCs w:val="20"/>
          <w:u w:val="single"/>
        </w:rPr>
      </w:pPr>
      <w:r>
        <w:rPr>
          <w:sz w:val="20"/>
          <w:u w:val="single"/>
        </w:rPr>
        <w:t>Wiedza to sukces</w:t>
      </w:r>
    </w:p>
    <w:p w14:paraId="217A15FD" w14:textId="77777777" w:rsidR="00DF0AAD" w:rsidRPr="00755EE6" w:rsidRDefault="00DF0AAD" w:rsidP="00DF0AAD">
      <w:pPr>
        <w:rPr>
          <w:sz w:val="20"/>
          <w:szCs w:val="20"/>
        </w:rPr>
      </w:pPr>
      <w:r>
        <w:rPr>
          <w:sz w:val="20"/>
        </w:rPr>
        <w:t xml:space="preserve">Kompetencje i doświadczenie z zakresu spawalnictwa odgrywają ważną rolę. Na przykład stabilność łuku spawalniczego, a tym samym podatność na powstawanie por zależy w dużej mierze od optymalnej i stałej prędkości podawania drutu. </w:t>
      </w:r>
    </w:p>
    <w:p w14:paraId="63AA44D4" w14:textId="77777777" w:rsidR="00DF0AAD" w:rsidRPr="00755EE6" w:rsidRDefault="00DF0AAD" w:rsidP="00DF0AAD">
      <w:pPr>
        <w:rPr>
          <w:sz w:val="20"/>
          <w:szCs w:val="20"/>
        </w:rPr>
      </w:pPr>
      <w:r>
        <w:rPr>
          <w:sz w:val="20"/>
        </w:rPr>
        <w:t>„Od pojemnika zawierającego drut do uchwytu mamy bardzo dużą odległość około 15 metrów. Dlatego trudno jest zapewnić stabilność podawania drutu. Potrzebny jest do tego niezawodnie działający podajnik drutu, wiele testów oraz dostateczne eksperckie know-how”. Piotr Ogórek, specjalista od rozwoju i technologii, wskazuje na znaczenie szczególnej wiedzy specjalistycznej podczas napawania ścian membranowych. „Kolejnym kryterium jest idealna pozycja uchwytu spawalniczego, ponieważ przy nieprawidłowo ustawionym kącie uchwytu powstają odpryski”, podkreśla Ogórek.</w:t>
      </w:r>
    </w:p>
    <w:p w14:paraId="161F6284" w14:textId="77777777" w:rsidR="00DF0AAD" w:rsidRPr="00755EE6" w:rsidRDefault="00DF0AAD" w:rsidP="00DF0AAD">
      <w:pPr>
        <w:rPr>
          <w:sz w:val="20"/>
          <w:szCs w:val="20"/>
        </w:rPr>
      </w:pPr>
      <w:r>
        <w:rPr>
          <w:sz w:val="20"/>
        </w:rPr>
        <w:t xml:space="preserve">Wolny wylot i związana z tym długość łuku elektrycznego to kolejne miarodajne współczynniki jakości, przyczyniające się razem ze stałą prędkością podawania drutu do ograniczenia ilości por. Specjaliści z FAKOP przy pomocy firmy Fronius dostosowali charakterystyki swoich źródeł energii TPS/i CMT w taki sposób, że dzięki odpowiedniemu ustawieniu wolnego wylotu uzyskują optymalne efekty napawania bez powstawania por. </w:t>
      </w:r>
    </w:p>
    <w:p w14:paraId="4D133233" w14:textId="77777777" w:rsidR="00DF0AAD" w:rsidRPr="00755EE6" w:rsidRDefault="00DF0AAD" w:rsidP="00DF0AAD">
      <w:pPr>
        <w:rPr>
          <w:sz w:val="20"/>
          <w:szCs w:val="20"/>
          <w:u w:val="single"/>
        </w:rPr>
      </w:pPr>
      <w:r>
        <w:rPr>
          <w:sz w:val="20"/>
          <w:u w:val="single"/>
        </w:rPr>
        <w:t>Wieża spawalnicza z zaawansowaną technologią i dużym komfortem obsługi</w:t>
      </w:r>
    </w:p>
    <w:p w14:paraId="7479BCF8" w14:textId="77777777" w:rsidR="00DF0AAD" w:rsidRPr="00755EE6" w:rsidRDefault="00DF0AAD" w:rsidP="00DF0AAD">
      <w:pPr>
        <w:rPr>
          <w:sz w:val="20"/>
          <w:szCs w:val="20"/>
        </w:rPr>
      </w:pPr>
      <w:r>
        <w:rPr>
          <w:sz w:val="20"/>
        </w:rPr>
        <w:t>Napawanie odbywa się ruchem oscylacyjnym od góry do dołu w pozycji podolnej (PG). Obydwie platformy dźwigowe są wyposażone w technologię napawania CMT i mają obsługiwany intuicyjnie sterownik systemowy HMI z ekranem dotykowym, kamerą ArcView wraz z monitorem, dwa napędy CMT i  joystick do regulacji precyzyjnej.</w:t>
      </w:r>
    </w:p>
    <w:p w14:paraId="7D536C41" w14:textId="77777777" w:rsidR="00DF0AAD" w:rsidRPr="00755EE6" w:rsidRDefault="00DF0AAD" w:rsidP="00DF0AAD">
      <w:pPr>
        <w:rPr>
          <w:sz w:val="20"/>
          <w:szCs w:val="20"/>
        </w:rPr>
      </w:pPr>
      <w:r>
        <w:rPr>
          <w:sz w:val="20"/>
        </w:rPr>
        <w:t xml:space="preserve">Wszystkie uchwyty są chłodzone wodą, przy czym temperatura uchwytu ma duży wpływ na współczynnik wymieszania. Aby wartość graniczna 3% nigdy nie została przekroczona, proces musi być przeprowadzany w odpowiedniej temperaturze , co wymaga precyzyjnej regulacji przez układ chłodzenia urządzenia. </w:t>
      </w:r>
    </w:p>
    <w:p w14:paraId="046CE4B1" w14:textId="77777777" w:rsidR="00DF0AAD" w:rsidRPr="00755EE6" w:rsidRDefault="00DF0AAD" w:rsidP="00DF0AAD">
      <w:pPr>
        <w:rPr>
          <w:sz w:val="20"/>
          <w:szCs w:val="20"/>
        </w:rPr>
      </w:pPr>
      <w:r>
        <w:rPr>
          <w:sz w:val="20"/>
        </w:rPr>
        <w:t xml:space="preserve">Bardzo dużym udogodnieniem urządzenia jest nowe precyzyjne ustawienie żądanej pozycji uchwytu za pomocą joysticka . Wcześniej uchwyt musiał być ustawiany ręcznie w pozycji za pomocą szyny ślizgowej. Praktycznie uniemożliwiało to precyzyjną regulację. Dzięki kamerze ArcView i joystickowi regulację precyzyjną można wykonać wygodnie, szybko i z dokładnością co do milimetra. </w:t>
      </w:r>
    </w:p>
    <w:p w14:paraId="608DFD24" w14:textId="77777777" w:rsidR="00DF0AAD" w:rsidRPr="00755EE6" w:rsidRDefault="00DF0AAD" w:rsidP="00DF0AAD">
      <w:pPr>
        <w:rPr>
          <w:sz w:val="20"/>
          <w:szCs w:val="20"/>
        </w:rPr>
      </w:pPr>
      <w:r>
        <w:rPr>
          <w:sz w:val="20"/>
        </w:rPr>
        <w:lastRenderedPageBreak/>
        <w:t xml:space="preserve">Bezpieczeństwo zapewniają użytkownikom odciągi spalin na każdym uchwycie oraz przyciemniana szyba ochronna. Odgradza ona obydwie platformy dźwigowe i sięga na całą wysokość urządzenia oraz chroni operatorów przed promieniowaniem UV. </w:t>
      </w:r>
    </w:p>
    <w:p w14:paraId="423539AD" w14:textId="77777777" w:rsidR="00DF0AAD" w:rsidRDefault="00DF0AAD" w:rsidP="00DF0AAD">
      <w:pPr>
        <w:rPr>
          <w:sz w:val="20"/>
          <w:szCs w:val="20"/>
        </w:rPr>
      </w:pPr>
      <w:r>
        <w:rPr>
          <w:sz w:val="20"/>
        </w:rPr>
        <w:t>„Kolejną istotną właściwością zapewnianą przez system Fronius jest oprogramowanie do zarządzania danymi spawania WeldCube”, wyjaśnia na koniec Osuch. „W trakcie napawania WeldCube rejestruje wszystkie dane procesu. Zarejestrowane informacje pomagają nam w zarządzaniu procesem. . Jesteśmy bardzo zadowoleni z urządzenia do napawania Fronius i zdecydowaliśmy się na zakup kolejnego”.</w:t>
      </w:r>
    </w:p>
    <w:p w14:paraId="0EF27565" w14:textId="77777777" w:rsidR="00DF0AAD" w:rsidRPr="007536D0" w:rsidRDefault="00DF0AAD" w:rsidP="00DF0AAD">
      <w:pPr>
        <w:rPr>
          <w:sz w:val="20"/>
          <w:szCs w:val="20"/>
          <w:u w:val="single"/>
        </w:rPr>
      </w:pPr>
      <w:r>
        <w:rPr>
          <w:sz w:val="20"/>
          <w:u w:val="single"/>
        </w:rPr>
        <w:t>Korzyść dla środowiska</w:t>
      </w:r>
    </w:p>
    <w:p w14:paraId="560DB829" w14:textId="2988A26B" w:rsidR="003B6E36" w:rsidRPr="00DF0AAD" w:rsidRDefault="00DF0AAD" w:rsidP="003B6E36">
      <w:pPr>
        <w:rPr>
          <w:sz w:val="20"/>
          <w:szCs w:val="20"/>
        </w:rPr>
      </w:pPr>
      <w:r>
        <w:rPr>
          <w:sz w:val="20"/>
        </w:rPr>
        <w:t>Przedsiębiorstwo FAKOP produkuje nie tylko wysokiej jakości ściany szczelne i kotły wodnorurowe, lecz swoimi produktami do instalacji spalania odpadów wnosi ważny wkład w zrównoważoną gospodarkę odpadami. Na podstawie danych ISWA (International Solid Waste Association) na świecie produkuje się około 7–10 miliardów ton odpadów komunalnych. Duża ich część trafia na składowiska odpadów. Z tego powodu powstaje metan, który jest 20 razy bardziej szkodliwy gazem powodującym efekt cieplarniany niż dwutlenek węgla. Instalacje termicznego przekształcania odpadów komunalnych są efektywną alternatywą dla składowisk odpadów przyczyniając się do redukcji emisji gazów cieplarniach oraz wytwarzania energii elektrycznej i ciepła systemowego, przyczyniając się do wspieranie gospodarki obiegu zamkniętego.</w:t>
      </w:r>
      <w:r>
        <w:rPr>
          <w:sz w:val="20"/>
        </w:rPr>
        <w:br/>
      </w:r>
      <w:r w:rsidR="003B6E36">
        <w:rPr>
          <w:i/>
          <w:sz w:val="20"/>
          <w:szCs w:val="20"/>
        </w:rPr>
        <w:br/>
      </w:r>
      <w:r>
        <w:rPr>
          <w:i/>
          <w:sz w:val="20"/>
          <w:szCs w:val="20"/>
        </w:rPr>
        <w:t>7342</w:t>
      </w:r>
      <w:r w:rsidR="003B6E36" w:rsidRPr="003B6E36">
        <w:rPr>
          <w:i/>
          <w:sz w:val="20"/>
          <w:szCs w:val="20"/>
        </w:rPr>
        <w:t xml:space="preserve"> znaków ze spacjami</w:t>
      </w:r>
    </w:p>
    <w:p w14:paraId="5450EA43" w14:textId="545543EB" w:rsidR="006626BC" w:rsidRDefault="003B6E36" w:rsidP="006626BC">
      <w:pPr>
        <w:rPr>
          <w:i/>
          <w:sz w:val="20"/>
          <w:szCs w:val="20"/>
        </w:rPr>
      </w:pPr>
      <w:r>
        <w:rPr>
          <w:rFonts w:cs="Arial"/>
          <w:sz w:val="20"/>
          <w:szCs w:val="20"/>
        </w:rPr>
        <w:br/>
      </w:r>
      <w:r w:rsidRPr="003B6E36">
        <w:rPr>
          <w:rFonts w:cs="Arial"/>
          <w:sz w:val="20"/>
          <w:szCs w:val="20"/>
        </w:rPr>
        <w:t>Fotografie w wysokiej rozdzielczości są dostępne do pobrania pod następującym adresem:</w:t>
      </w:r>
      <w:r w:rsidRPr="003B6E36">
        <w:rPr>
          <w:rFonts w:cs="Arial"/>
          <w:sz w:val="20"/>
          <w:szCs w:val="20"/>
        </w:rPr>
        <w:br/>
      </w:r>
      <w:hyperlink r:id="rId6" w:history="1">
        <w:r w:rsidRPr="003B6E36">
          <w:rPr>
            <w:rStyle w:val="Hyperlink"/>
            <w:sz w:val="20"/>
            <w:szCs w:val="20"/>
          </w:rPr>
          <w:t>https://www.fronius.com/pl-pl/poland/spawalnictwo/centrum-informacyjne/prasa</w:t>
        </w:r>
      </w:hyperlink>
    </w:p>
    <w:p w14:paraId="5DF70D75" w14:textId="77777777" w:rsidR="003B6E36" w:rsidRPr="003B6E36" w:rsidRDefault="003B6E36" w:rsidP="006626BC">
      <w:pPr>
        <w:rPr>
          <w:i/>
          <w:sz w:val="20"/>
          <w:szCs w:val="20"/>
        </w:rPr>
      </w:pPr>
    </w:p>
    <w:p w14:paraId="54C0DAF4" w14:textId="1CF41351" w:rsidR="00ED5042" w:rsidRDefault="00B801F9">
      <w:pPr>
        <w:pStyle w:val="berschrift4"/>
        <w:jc w:val="both"/>
        <w:rPr>
          <w:sz w:val="20"/>
          <w:szCs w:val="20"/>
        </w:rPr>
      </w:pPr>
      <w:r>
        <w:rPr>
          <w:sz w:val="20"/>
        </w:rPr>
        <w:t>Wykaz materiałów graficznych</w:t>
      </w:r>
    </w:p>
    <w:p w14:paraId="5A95C95D" w14:textId="77777777" w:rsidR="004C3056" w:rsidRPr="004C3056" w:rsidRDefault="004C3056" w:rsidP="0018477B"/>
    <w:p w14:paraId="020BA1AA" w14:textId="36BD14F7" w:rsidR="00DF0AAD" w:rsidRPr="00DF0AAD" w:rsidRDefault="00DF0AAD" w:rsidP="00DF0AAD">
      <w:pPr>
        <w:rPr>
          <w:sz w:val="18"/>
          <w:szCs w:val="18"/>
        </w:rPr>
      </w:pPr>
      <w:r w:rsidRPr="00DF0AAD">
        <w:rPr>
          <w:noProof/>
          <w:sz w:val="18"/>
          <w:szCs w:val="18"/>
        </w:rPr>
        <w:drawing>
          <wp:anchor distT="0" distB="0" distL="114300" distR="114300" simplePos="0" relativeHeight="251658240" behindDoc="0" locked="0" layoutInCell="1" allowOverlap="1" wp14:anchorId="1943F23D" wp14:editId="20891247">
            <wp:simplePos x="0" y="0"/>
            <wp:positionH relativeFrom="column">
              <wp:posOffset>1905</wp:posOffset>
            </wp:positionH>
            <wp:positionV relativeFrom="paragraph">
              <wp:posOffset>0</wp:posOffset>
            </wp:positionV>
            <wp:extent cx="2198455" cy="1466850"/>
            <wp:effectExtent l="0" t="0" r="0" b="0"/>
            <wp:wrapSquare wrapText="bothSides"/>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98455" cy="1466850"/>
                    </a:xfrm>
                    <a:prstGeom prst="rect">
                      <a:avLst/>
                    </a:prstGeom>
                    <a:noFill/>
                    <a:ln>
                      <a:noFill/>
                    </a:ln>
                  </pic:spPr>
                </pic:pic>
              </a:graphicData>
            </a:graphic>
          </wp:anchor>
        </w:drawing>
      </w:r>
      <w:r w:rsidRPr="00DF0AAD">
        <w:rPr>
          <w:sz w:val="18"/>
          <w:szCs w:val="18"/>
        </w:rPr>
        <w:t>Arkadiusz Osuch, dyrektor FAKOP</w:t>
      </w:r>
    </w:p>
    <w:p w14:paraId="4B2090EA" w14:textId="3B64493C" w:rsidR="00DF0AAD" w:rsidRDefault="00DF0AAD" w:rsidP="00DF0AAD">
      <w:pPr>
        <w:rPr>
          <w:sz w:val="20"/>
        </w:rPr>
      </w:pPr>
    </w:p>
    <w:p w14:paraId="115A4FAD" w14:textId="50AF6142" w:rsidR="00DF0AAD" w:rsidRDefault="00DF0AAD" w:rsidP="00DF0AAD">
      <w:pPr>
        <w:rPr>
          <w:sz w:val="20"/>
        </w:rPr>
      </w:pPr>
    </w:p>
    <w:p w14:paraId="733310C4" w14:textId="09172FB5" w:rsidR="00DF0AAD" w:rsidRDefault="00DF0AAD" w:rsidP="00DF0AAD">
      <w:pPr>
        <w:rPr>
          <w:sz w:val="20"/>
        </w:rPr>
      </w:pPr>
    </w:p>
    <w:p w14:paraId="598DFA02" w14:textId="77777777" w:rsidR="00DF0AAD" w:rsidRDefault="00DF0AAD" w:rsidP="00DF0AAD">
      <w:pPr>
        <w:rPr>
          <w:sz w:val="20"/>
          <w:szCs w:val="20"/>
        </w:rPr>
      </w:pPr>
    </w:p>
    <w:p w14:paraId="2E669E20" w14:textId="77777777" w:rsidR="00DF0AAD" w:rsidRDefault="00DF0AAD" w:rsidP="00DF0AAD"/>
    <w:p w14:paraId="414D074A" w14:textId="77777777" w:rsidR="00DF0AAD" w:rsidRDefault="00DF0AAD" w:rsidP="00DF0AAD">
      <w:pPr>
        <w:rPr>
          <w:noProof/>
          <w:sz w:val="20"/>
        </w:rPr>
      </w:pPr>
    </w:p>
    <w:p w14:paraId="5E6AE202" w14:textId="77777777" w:rsidR="00DF0AAD" w:rsidRDefault="00DF0AAD" w:rsidP="00DF0AAD">
      <w:pPr>
        <w:rPr>
          <w:noProof/>
          <w:sz w:val="20"/>
        </w:rPr>
      </w:pPr>
    </w:p>
    <w:p w14:paraId="691AD31F" w14:textId="15E6929E" w:rsidR="00DF0AAD" w:rsidRPr="00DF0AAD" w:rsidRDefault="00DF0AAD" w:rsidP="00DF0AAD">
      <w:pPr>
        <w:rPr>
          <w:sz w:val="18"/>
          <w:szCs w:val="18"/>
        </w:rPr>
      </w:pPr>
      <w:r w:rsidRPr="00DF0AAD">
        <w:rPr>
          <w:noProof/>
          <w:sz w:val="18"/>
          <w:szCs w:val="18"/>
        </w:rPr>
        <w:lastRenderedPageBreak/>
        <w:drawing>
          <wp:anchor distT="0" distB="0" distL="114300" distR="114300" simplePos="0" relativeHeight="251659264" behindDoc="0" locked="0" layoutInCell="1" allowOverlap="1" wp14:anchorId="3E8B55AE" wp14:editId="6292AD6A">
            <wp:simplePos x="0" y="0"/>
            <wp:positionH relativeFrom="column">
              <wp:posOffset>1905</wp:posOffset>
            </wp:positionH>
            <wp:positionV relativeFrom="paragraph">
              <wp:posOffset>1905</wp:posOffset>
            </wp:positionV>
            <wp:extent cx="2286000" cy="1524635"/>
            <wp:effectExtent l="0" t="0" r="0" b="0"/>
            <wp:wrapSquare wrapText="bothSides"/>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86000" cy="1524635"/>
                    </a:xfrm>
                    <a:prstGeom prst="rect">
                      <a:avLst/>
                    </a:prstGeom>
                    <a:noFill/>
                    <a:ln>
                      <a:noFill/>
                    </a:ln>
                  </pic:spPr>
                </pic:pic>
              </a:graphicData>
            </a:graphic>
          </wp:anchor>
        </w:drawing>
      </w:r>
      <w:r w:rsidRPr="00DF0AAD">
        <w:rPr>
          <w:sz w:val="18"/>
          <w:szCs w:val="18"/>
        </w:rPr>
        <w:t xml:space="preserve">Jarosław Olej, starszy specjalista ds. spawalnictwa </w:t>
      </w:r>
    </w:p>
    <w:p w14:paraId="3E02544A" w14:textId="3BF0A055" w:rsidR="00DF0AAD" w:rsidRDefault="00DF0AAD" w:rsidP="00DF0AAD"/>
    <w:p w14:paraId="774000CC" w14:textId="1F4888AD" w:rsidR="00DF0AAD" w:rsidRDefault="00DF0AAD" w:rsidP="00DF0AAD"/>
    <w:p w14:paraId="6DAED42B" w14:textId="2DA3287F" w:rsidR="00DF0AAD" w:rsidRDefault="00DF0AAD" w:rsidP="00DF0AAD"/>
    <w:p w14:paraId="361EF491" w14:textId="77777777" w:rsidR="00DF0AAD" w:rsidRDefault="00DF0AAD" w:rsidP="00DF0AAD"/>
    <w:p w14:paraId="3C1B918F" w14:textId="77777777" w:rsidR="00DF0AAD" w:rsidRDefault="00DF0AAD" w:rsidP="00DF0AAD">
      <w:r>
        <w:rPr>
          <w:noProof/>
          <w:sz w:val="20"/>
        </w:rPr>
        <w:drawing>
          <wp:anchor distT="0" distB="0" distL="114300" distR="114300" simplePos="0" relativeHeight="251660288" behindDoc="0" locked="0" layoutInCell="1" allowOverlap="1" wp14:anchorId="22906585" wp14:editId="573E1497">
            <wp:simplePos x="0" y="0"/>
            <wp:positionH relativeFrom="margin">
              <wp:align>left</wp:align>
            </wp:positionH>
            <wp:positionV relativeFrom="paragraph">
              <wp:posOffset>310515</wp:posOffset>
            </wp:positionV>
            <wp:extent cx="2269490" cy="1514475"/>
            <wp:effectExtent l="0" t="0" r="0" b="9525"/>
            <wp:wrapSquare wrapText="bothSides"/>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69490" cy="1514475"/>
                    </a:xfrm>
                    <a:prstGeom prst="rect">
                      <a:avLst/>
                    </a:prstGeom>
                    <a:noFill/>
                    <a:ln>
                      <a:noFill/>
                    </a:ln>
                  </pic:spPr>
                </pic:pic>
              </a:graphicData>
            </a:graphic>
          </wp:anchor>
        </w:drawing>
      </w:r>
    </w:p>
    <w:p w14:paraId="7A6879D0" w14:textId="6A9D8445" w:rsidR="00DF0AAD" w:rsidRDefault="00DF0AAD" w:rsidP="00DF0AAD">
      <w:pPr>
        <w:rPr>
          <w:sz w:val="18"/>
          <w:szCs w:val="18"/>
        </w:rPr>
      </w:pPr>
      <w:r w:rsidRPr="00DF0AAD">
        <w:rPr>
          <w:sz w:val="18"/>
          <w:szCs w:val="18"/>
        </w:rPr>
        <w:t>Piotr Ogórek, specjalista ds. rozwoju i technologii</w:t>
      </w:r>
    </w:p>
    <w:p w14:paraId="37E82AAD" w14:textId="60B9FFFE" w:rsidR="00DF0AAD" w:rsidRDefault="00DF0AAD" w:rsidP="00DF0AAD">
      <w:pPr>
        <w:rPr>
          <w:sz w:val="18"/>
          <w:szCs w:val="18"/>
        </w:rPr>
      </w:pPr>
    </w:p>
    <w:p w14:paraId="5A9EA89C" w14:textId="13B753BF" w:rsidR="00DF0AAD" w:rsidRDefault="00DF0AAD" w:rsidP="00DF0AAD">
      <w:pPr>
        <w:rPr>
          <w:sz w:val="18"/>
          <w:szCs w:val="18"/>
        </w:rPr>
      </w:pPr>
    </w:p>
    <w:p w14:paraId="7B148F83" w14:textId="5ED29F95" w:rsidR="00DF0AAD" w:rsidRDefault="00DF0AAD" w:rsidP="00DF0AAD">
      <w:pPr>
        <w:rPr>
          <w:sz w:val="18"/>
          <w:szCs w:val="18"/>
        </w:rPr>
      </w:pPr>
    </w:p>
    <w:p w14:paraId="5140EEDF" w14:textId="4318AF63" w:rsidR="00DF0AAD" w:rsidRDefault="00DF0AAD" w:rsidP="00DF0AAD">
      <w:pPr>
        <w:rPr>
          <w:sz w:val="18"/>
          <w:szCs w:val="18"/>
        </w:rPr>
      </w:pPr>
    </w:p>
    <w:p w14:paraId="250D42A8" w14:textId="41386C90" w:rsidR="00DF0AAD" w:rsidRPr="00DF0AAD" w:rsidRDefault="00DF0AAD" w:rsidP="00DF0AAD">
      <w:pPr>
        <w:rPr>
          <w:sz w:val="18"/>
          <w:szCs w:val="18"/>
        </w:rPr>
      </w:pPr>
      <w:r w:rsidRPr="00DF0AAD">
        <w:rPr>
          <w:noProof/>
          <w:sz w:val="18"/>
          <w:szCs w:val="18"/>
        </w:rPr>
        <w:drawing>
          <wp:anchor distT="0" distB="0" distL="114300" distR="114300" simplePos="0" relativeHeight="251661312" behindDoc="0" locked="0" layoutInCell="1" allowOverlap="1" wp14:anchorId="68298F6B" wp14:editId="2CA99A7E">
            <wp:simplePos x="0" y="0"/>
            <wp:positionH relativeFrom="margin">
              <wp:align>left</wp:align>
            </wp:positionH>
            <wp:positionV relativeFrom="paragraph">
              <wp:posOffset>234315</wp:posOffset>
            </wp:positionV>
            <wp:extent cx="2269490" cy="1516757"/>
            <wp:effectExtent l="0" t="0" r="0" b="7620"/>
            <wp:wrapSquare wrapText="bothSides"/>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69490" cy="1516757"/>
                    </a:xfrm>
                    <a:prstGeom prst="rect">
                      <a:avLst/>
                    </a:prstGeom>
                    <a:noFill/>
                    <a:ln>
                      <a:noFill/>
                    </a:ln>
                  </pic:spPr>
                </pic:pic>
              </a:graphicData>
            </a:graphic>
          </wp:anchor>
        </w:drawing>
      </w:r>
    </w:p>
    <w:p w14:paraId="293D58AC" w14:textId="589402B3" w:rsidR="00DF0AAD" w:rsidRPr="00DF0AAD" w:rsidRDefault="00DF0AAD" w:rsidP="00DF0AAD">
      <w:pPr>
        <w:rPr>
          <w:sz w:val="18"/>
          <w:szCs w:val="18"/>
        </w:rPr>
      </w:pPr>
      <w:r w:rsidRPr="00DF0AAD">
        <w:rPr>
          <w:sz w:val="18"/>
          <w:szCs w:val="18"/>
        </w:rPr>
        <w:t>Wieża do napawania CMT: mocowanie ścian szczelnych, widok na stół montażowy</w:t>
      </w:r>
    </w:p>
    <w:p w14:paraId="5DE8060F" w14:textId="77777777" w:rsidR="00DF0AAD" w:rsidRPr="00DF0AAD" w:rsidRDefault="00DF0AAD" w:rsidP="00DF0AAD">
      <w:pPr>
        <w:rPr>
          <w:sz w:val="18"/>
          <w:szCs w:val="18"/>
        </w:rPr>
      </w:pPr>
    </w:p>
    <w:p w14:paraId="34EA6A0E" w14:textId="77777777" w:rsidR="00DF0AAD" w:rsidRDefault="00DF0AAD" w:rsidP="00DF0AAD">
      <w:pPr>
        <w:rPr>
          <w:noProof/>
          <w:sz w:val="20"/>
        </w:rPr>
      </w:pPr>
    </w:p>
    <w:p w14:paraId="564762E5" w14:textId="77777777" w:rsidR="00DF0AAD" w:rsidRDefault="00DF0AAD" w:rsidP="00DF0AAD">
      <w:pPr>
        <w:rPr>
          <w:noProof/>
          <w:sz w:val="20"/>
        </w:rPr>
      </w:pPr>
    </w:p>
    <w:p w14:paraId="72AC242A" w14:textId="0F27A88B" w:rsidR="00DF0AAD" w:rsidRDefault="00DF0AAD" w:rsidP="00DF0AAD">
      <w:pPr>
        <w:rPr>
          <w:noProof/>
          <w:sz w:val="20"/>
        </w:rPr>
      </w:pPr>
      <w:r w:rsidRPr="00DF0AAD">
        <w:rPr>
          <w:noProof/>
          <w:sz w:val="18"/>
          <w:szCs w:val="18"/>
        </w:rPr>
        <w:drawing>
          <wp:anchor distT="0" distB="0" distL="114300" distR="114300" simplePos="0" relativeHeight="251662336" behindDoc="0" locked="0" layoutInCell="1" allowOverlap="1" wp14:anchorId="6812C584" wp14:editId="7F79A1E0">
            <wp:simplePos x="0" y="0"/>
            <wp:positionH relativeFrom="margin">
              <wp:align>left</wp:align>
            </wp:positionH>
            <wp:positionV relativeFrom="paragraph">
              <wp:posOffset>287655</wp:posOffset>
            </wp:positionV>
            <wp:extent cx="2293620" cy="1530350"/>
            <wp:effectExtent l="0" t="0" r="0" b="0"/>
            <wp:wrapSquare wrapText="bothSides"/>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293620" cy="15303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4DFD844" w14:textId="436EDD2C" w:rsidR="00DF0AAD" w:rsidRPr="00DF0AAD" w:rsidRDefault="00DF0AAD" w:rsidP="00DF0AAD">
      <w:pPr>
        <w:rPr>
          <w:sz w:val="18"/>
          <w:szCs w:val="18"/>
        </w:rPr>
      </w:pPr>
      <w:r w:rsidRPr="00DF0AAD">
        <w:rPr>
          <w:sz w:val="18"/>
          <w:szCs w:val="18"/>
        </w:rPr>
        <w:t>Wieża do napawania CMT: podnoszenie paneli ścian szczelnych</w:t>
      </w:r>
    </w:p>
    <w:p w14:paraId="0178119C" w14:textId="4A788C6F" w:rsidR="00DF0AAD" w:rsidRPr="00DF0AAD" w:rsidRDefault="00DF0AAD" w:rsidP="00DF0AAD">
      <w:pPr>
        <w:rPr>
          <w:sz w:val="18"/>
          <w:szCs w:val="18"/>
        </w:rPr>
      </w:pPr>
    </w:p>
    <w:p w14:paraId="0D7E0E38" w14:textId="37F4334A" w:rsidR="00DF0AAD" w:rsidRDefault="00DF0AAD" w:rsidP="00DF0AAD">
      <w:pPr>
        <w:rPr>
          <w:sz w:val="20"/>
        </w:rPr>
      </w:pPr>
    </w:p>
    <w:p w14:paraId="2E607986" w14:textId="4622C2C6" w:rsidR="00DF0AAD" w:rsidRDefault="00DF0AAD" w:rsidP="00DF0AAD">
      <w:pPr>
        <w:rPr>
          <w:sz w:val="20"/>
        </w:rPr>
      </w:pPr>
    </w:p>
    <w:p w14:paraId="3E970F81" w14:textId="443A9F14" w:rsidR="00DF0AAD" w:rsidRDefault="00DF0AAD" w:rsidP="00DF0AAD">
      <w:pPr>
        <w:rPr>
          <w:sz w:val="20"/>
        </w:rPr>
      </w:pPr>
    </w:p>
    <w:p w14:paraId="7ACC16DC" w14:textId="5A431CB9" w:rsidR="00DF0AAD" w:rsidRDefault="00DF0AAD" w:rsidP="00DF0AAD">
      <w:pPr>
        <w:rPr>
          <w:sz w:val="20"/>
          <w:szCs w:val="20"/>
        </w:rPr>
      </w:pPr>
      <w:r w:rsidRPr="00DF0AAD">
        <w:rPr>
          <w:noProof/>
          <w:sz w:val="18"/>
          <w:szCs w:val="18"/>
        </w:rPr>
        <w:drawing>
          <wp:anchor distT="0" distB="0" distL="114300" distR="114300" simplePos="0" relativeHeight="251663360" behindDoc="0" locked="0" layoutInCell="1" allowOverlap="1" wp14:anchorId="60BF465E" wp14:editId="13C17654">
            <wp:simplePos x="0" y="0"/>
            <wp:positionH relativeFrom="margin">
              <wp:align>left</wp:align>
            </wp:positionH>
            <wp:positionV relativeFrom="paragraph">
              <wp:posOffset>284480</wp:posOffset>
            </wp:positionV>
            <wp:extent cx="2332355" cy="1555750"/>
            <wp:effectExtent l="0" t="0" r="0" b="6350"/>
            <wp:wrapSquare wrapText="bothSides"/>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34213" cy="15565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DBE778E" w14:textId="64EFB016" w:rsidR="00DF0AAD" w:rsidRPr="00DF0AAD" w:rsidRDefault="00DF0AAD" w:rsidP="00DF0AAD">
      <w:pPr>
        <w:rPr>
          <w:sz w:val="18"/>
          <w:szCs w:val="18"/>
        </w:rPr>
      </w:pPr>
      <w:r w:rsidRPr="00DF0AAD">
        <w:rPr>
          <w:sz w:val="18"/>
          <w:szCs w:val="18"/>
        </w:rPr>
        <w:t>Wieża do napawania CMT: widok na proces napawania</w:t>
      </w:r>
    </w:p>
    <w:p w14:paraId="38BD8535" w14:textId="77777777" w:rsidR="00DF0AAD" w:rsidRDefault="00DF0AAD" w:rsidP="00DF0AAD">
      <w:pPr>
        <w:rPr>
          <w:noProof/>
          <w:sz w:val="20"/>
        </w:rPr>
      </w:pPr>
    </w:p>
    <w:p w14:paraId="5595AFC0" w14:textId="77777777" w:rsidR="00DF0AAD" w:rsidRDefault="00DF0AAD" w:rsidP="00DF0AAD">
      <w:pPr>
        <w:rPr>
          <w:noProof/>
          <w:sz w:val="20"/>
        </w:rPr>
      </w:pPr>
    </w:p>
    <w:p w14:paraId="6E058BF9" w14:textId="77777777" w:rsidR="00DF0AAD" w:rsidRDefault="00DF0AAD" w:rsidP="00DF0AAD">
      <w:pPr>
        <w:rPr>
          <w:noProof/>
          <w:sz w:val="20"/>
        </w:rPr>
      </w:pPr>
    </w:p>
    <w:p w14:paraId="1EE54A95" w14:textId="77777777" w:rsidR="00DF0AAD" w:rsidRDefault="00DF0AAD" w:rsidP="00DF0AAD">
      <w:pPr>
        <w:rPr>
          <w:noProof/>
          <w:sz w:val="20"/>
        </w:rPr>
      </w:pPr>
    </w:p>
    <w:p w14:paraId="69EF8CB6" w14:textId="77777777" w:rsidR="00DF0AAD" w:rsidRDefault="00DF0AAD" w:rsidP="00DF0AAD">
      <w:pPr>
        <w:rPr>
          <w:noProof/>
          <w:sz w:val="20"/>
        </w:rPr>
      </w:pPr>
    </w:p>
    <w:p w14:paraId="6B5C3A51" w14:textId="77777777" w:rsidR="00DF0AAD" w:rsidRDefault="00DF0AAD" w:rsidP="00DF0AAD">
      <w:pPr>
        <w:rPr>
          <w:noProof/>
          <w:sz w:val="20"/>
        </w:rPr>
      </w:pPr>
    </w:p>
    <w:p w14:paraId="546CAD6A" w14:textId="77777777" w:rsidR="00DF0AAD" w:rsidRDefault="00DF0AAD" w:rsidP="00DF0AAD">
      <w:pPr>
        <w:rPr>
          <w:noProof/>
          <w:sz w:val="20"/>
        </w:rPr>
      </w:pPr>
    </w:p>
    <w:p w14:paraId="781D5B49" w14:textId="68458D7A" w:rsidR="00DF0AAD" w:rsidRPr="00DF0AAD" w:rsidRDefault="00DF0AAD" w:rsidP="00DF0AAD">
      <w:pPr>
        <w:rPr>
          <w:sz w:val="18"/>
          <w:szCs w:val="18"/>
        </w:rPr>
      </w:pPr>
      <w:r w:rsidRPr="00DF0AAD">
        <w:rPr>
          <w:noProof/>
          <w:sz w:val="18"/>
          <w:szCs w:val="18"/>
        </w:rPr>
        <w:lastRenderedPageBreak/>
        <w:drawing>
          <wp:anchor distT="0" distB="0" distL="114300" distR="114300" simplePos="0" relativeHeight="251664384" behindDoc="0" locked="0" layoutInCell="1" allowOverlap="1" wp14:anchorId="5A0F678E" wp14:editId="43C1022E">
            <wp:simplePos x="0" y="0"/>
            <wp:positionH relativeFrom="column">
              <wp:posOffset>1905</wp:posOffset>
            </wp:positionH>
            <wp:positionV relativeFrom="paragraph">
              <wp:posOffset>-7539990</wp:posOffset>
            </wp:positionV>
            <wp:extent cx="2336114" cy="1557495"/>
            <wp:effectExtent l="0" t="0" r="7620" b="5080"/>
            <wp:wrapSquare wrapText="bothSides"/>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336114" cy="1557495"/>
                    </a:xfrm>
                    <a:prstGeom prst="rect">
                      <a:avLst/>
                    </a:prstGeom>
                    <a:noFill/>
                    <a:ln>
                      <a:noFill/>
                    </a:ln>
                  </pic:spPr>
                </pic:pic>
              </a:graphicData>
            </a:graphic>
          </wp:anchor>
        </w:drawing>
      </w:r>
      <w:r w:rsidRPr="00DF0AAD">
        <w:rPr>
          <w:noProof/>
          <w:sz w:val="18"/>
          <w:szCs w:val="18"/>
        </w:rPr>
        <w:drawing>
          <wp:anchor distT="0" distB="0" distL="114300" distR="114300" simplePos="0" relativeHeight="251665408" behindDoc="0" locked="0" layoutInCell="1" allowOverlap="1" wp14:anchorId="2AE44136" wp14:editId="1B4C7020">
            <wp:simplePos x="0" y="0"/>
            <wp:positionH relativeFrom="column">
              <wp:posOffset>1905</wp:posOffset>
            </wp:positionH>
            <wp:positionV relativeFrom="paragraph">
              <wp:posOffset>-8682990</wp:posOffset>
            </wp:positionV>
            <wp:extent cx="2336114" cy="1557495"/>
            <wp:effectExtent l="0" t="0" r="7620" b="5080"/>
            <wp:wrapSquare wrapText="bothSides"/>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336114" cy="1557495"/>
                    </a:xfrm>
                    <a:prstGeom prst="rect">
                      <a:avLst/>
                    </a:prstGeom>
                    <a:noFill/>
                    <a:ln>
                      <a:noFill/>
                    </a:ln>
                  </pic:spPr>
                </pic:pic>
              </a:graphicData>
            </a:graphic>
          </wp:anchor>
        </w:drawing>
      </w:r>
      <w:r w:rsidRPr="00DF0AAD">
        <w:rPr>
          <w:sz w:val="18"/>
          <w:szCs w:val="18"/>
        </w:rPr>
        <w:t>Wieża do napawania CMT: napęd z odciągami gazów spalinowych</w:t>
      </w:r>
    </w:p>
    <w:p w14:paraId="2996079A" w14:textId="77777777" w:rsidR="00ED5042" w:rsidRDefault="00ED5042">
      <w:pPr>
        <w:jc w:val="both"/>
        <w:rPr>
          <w:sz w:val="18"/>
          <w:szCs w:val="18"/>
        </w:rPr>
      </w:pPr>
    </w:p>
    <w:p w14:paraId="7BAE636D" w14:textId="77777777" w:rsidR="00ED5042" w:rsidRDefault="00ED5042">
      <w:pPr>
        <w:jc w:val="both"/>
        <w:rPr>
          <w:sz w:val="18"/>
          <w:szCs w:val="18"/>
        </w:rPr>
      </w:pPr>
    </w:p>
    <w:p w14:paraId="14E895C2" w14:textId="77777777" w:rsidR="00DF0AAD" w:rsidRDefault="00DF0AAD">
      <w:pPr>
        <w:jc w:val="both"/>
        <w:rPr>
          <w:i/>
          <w:sz w:val="18"/>
        </w:rPr>
      </w:pPr>
    </w:p>
    <w:p w14:paraId="78A44B86" w14:textId="77777777" w:rsidR="00DF0AAD" w:rsidRDefault="00DF0AAD">
      <w:pPr>
        <w:jc w:val="both"/>
        <w:rPr>
          <w:i/>
          <w:sz w:val="18"/>
        </w:rPr>
      </w:pPr>
    </w:p>
    <w:p w14:paraId="589CF604" w14:textId="77777777" w:rsidR="00DF0AAD" w:rsidRDefault="00DF0AAD">
      <w:pPr>
        <w:jc w:val="both"/>
        <w:rPr>
          <w:i/>
          <w:sz w:val="18"/>
        </w:rPr>
      </w:pPr>
    </w:p>
    <w:p w14:paraId="6C294D8C" w14:textId="1896E84C" w:rsidR="00ED5042" w:rsidRDefault="00B801F9">
      <w:pPr>
        <w:jc w:val="both"/>
        <w:rPr>
          <w:i/>
          <w:sz w:val="18"/>
        </w:rPr>
      </w:pPr>
      <w:r>
        <w:rPr>
          <w:i/>
          <w:sz w:val="18"/>
        </w:rPr>
        <w:t>Prawa do fotografii: Fronius International GmbH, przedruk możliwy nieodpłatnie</w:t>
      </w:r>
    </w:p>
    <w:p w14:paraId="248B2F4B" w14:textId="0AA22897" w:rsidR="003B6E36" w:rsidRDefault="003B6E36">
      <w:pPr>
        <w:jc w:val="both"/>
        <w:rPr>
          <w:i/>
          <w:sz w:val="18"/>
        </w:rPr>
      </w:pPr>
    </w:p>
    <w:p w14:paraId="1F239056" w14:textId="77777777" w:rsidR="003B6E36" w:rsidRPr="003B6E36" w:rsidRDefault="003B6E36" w:rsidP="003B6E36">
      <w:pPr>
        <w:rPr>
          <w:bCs/>
          <w:sz w:val="20"/>
          <w:szCs w:val="20"/>
          <w:u w:val="single"/>
        </w:rPr>
      </w:pPr>
      <w:r w:rsidRPr="003B6E36">
        <w:rPr>
          <w:bCs/>
          <w:sz w:val="20"/>
          <w:szCs w:val="20"/>
          <w:u w:val="single"/>
        </w:rPr>
        <w:t>Jednostka biznesowa Perfect Welding</w:t>
      </w:r>
    </w:p>
    <w:p w14:paraId="66D6B147" w14:textId="59293C31" w:rsidR="003B6E36" w:rsidRPr="00DF0AAD" w:rsidRDefault="003B6E36" w:rsidP="003B6E36">
      <w:pPr>
        <w:rPr>
          <w:bCs/>
          <w:sz w:val="20"/>
          <w:szCs w:val="20"/>
        </w:rPr>
      </w:pPr>
      <w:r w:rsidRPr="003B6E36">
        <w:rPr>
          <w:bCs/>
          <w:sz w:val="20"/>
          <w:szCs w:val="20"/>
        </w:rPr>
        <w:t xml:space="preserve">Fronius Perfect Welding to lider w dziedzinie innowacji spawania łukowego i globalny lider na rynku spawania zrobotyzowanego. Jako dostawca systemów Fronius Welding Automation wytwarza dostosowane do klienta, zautomatyzowane, kompleksowe rozwiązania spawalnicze, wykorzystywane do budowy zbiorników lub napawania w sektorze offshore. Całości portfolio dopełniają źródła spawalnicze do spawania ręcznego, akcesoria spawalnicze i szerokie spektrum usług. Dzięki sieci ponad 1000 partnerów handlowych Fronius Perfect Welding jest szczególnie blisko klienta. </w:t>
      </w:r>
    </w:p>
    <w:p w14:paraId="555BD93E" w14:textId="77777777" w:rsidR="003B6E36" w:rsidRPr="003B6E36" w:rsidRDefault="003B6E36" w:rsidP="003B6E36">
      <w:pPr>
        <w:rPr>
          <w:bCs/>
          <w:sz w:val="20"/>
          <w:szCs w:val="20"/>
          <w:u w:val="single"/>
        </w:rPr>
      </w:pPr>
      <w:r w:rsidRPr="003B6E36">
        <w:rPr>
          <w:bCs/>
          <w:sz w:val="20"/>
          <w:szCs w:val="20"/>
          <w:u w:val="single"/>
        </w:rPr>
        <w:t>Fronius International GmbH</w:t>
      </w:r>
    </w:p>
    <w:p w14:paraId="3FAA014E" w14:textId="77777777" w:rsidR="003B6E36" w:rsidRPr="003B6E36" w:rsidRDefault="003B6E36" w:rsidP="003B6E36">
      <w:pPr>
        <w:rPr>
          <w:bCs/>
          <w:sz w:val="20"/>
          <w:szCs w:val="20"/>
        </w:rPr>
      </w:pPr>
      <w:r w:rsidRPr="003B6E36">
        <w:rPr>
          <w:bCs/>
          <w:sz w:val="20"/>
          <w:szCs w:val="20"/>
        </w:rPr>
        <w:t>Fronius International to austriackie przedsiębiorstwo z siedzibą w Pettenbach oraz zakładami w Wels, Thalheim, Steinhaus i Sattledt. Firma zatrudnia 6100 osoby na całym świecie i działa w następujących branżach: spawalnictwo, fotowoltaika i technologia ładowania akumulatorów. Eksport na poziomie 89% to zasługa 36 międzynarodowych spółek firmy Fronius oraz partnerów handlowych i przedstawicieli w ponad 60 krajach. Dzięki innowacyjnym produktom i usługom oraz udzielonym 1366 patentom Fronius jest liderem na światowym rynku pod względem wprowadzania nowych technologii.</w:t>
      </w:r>
    </w:p>
    <w:p w14:paraId="7800E8BF" w14:textId="77777777" w:rsidR="003B6E36" w:rsidRPr="003B6E36" w:rsidRDefault="003B6E36" w:rsidP="003B6E36">
      <w:pPr>
        <w:rPr>
          <w:b/>
          <w:sz w:val="20"/>
          <w:szCs w:val="20"/>
        </w:rPr>
      </w:pPr>
    </w:p>
    <w:p w14:paraId="55EDD84D" w14:textId="77777777" w:rsidR="003B6E36" w:rsidRPr="003B6E36" w:rsidRDefault="003B6E36" w:rsidP="003B6E36">
      <w:pPr>
        <w:pStyle w:val="StandardWeb"/>
        <w:spacing w:before="0" w:beforeAutospacing="0" w:after="0" w:afterAutospacing="0"/>
        <w:rPr>
          <w:rFonts w:ascii="Noto Sans" w:hAnsi="Noto Sans" w:cs="Noto Sans"/>
          <w:sz w:val="20"/>
          <w:szCs w:val="20"/>
          <w:u w:val="single"/>
        </w:rPr>
      </w:pPr>
      <w:r w:rsidRPr="003B6E36">
        <w:rPr>
          <w:rFonts w:ascii="Noto Sans" w:hAnsi="Noto Sans" w:cs="Noto Sans"/>
          <w:sz w:val="20"/>
          <w:szCs w:val="20"/>
          <w:u w:val="single"/>
        </w:rPr>
        <w:t>Aby uzyskać dodatkowe informacje, prosimy o kontakt:</w:t>
      </w:r>
    </w:p>
    <w:p w14:paraId="208FF7FD" w14:textId="77777777" w:rsidR="003B6E36" w:rsidRPr="003B6E36" w:rsidRDefault="003B6E36" w:rsidP="003B6E36">
      <w:pPr>
        <w:pStyle w:val="StandardWeb"/>
        <w:spacing w:before="0" w:beforeAutospacing="0" w:after="0" w:afterAutospacing="0"/>
        <w:rPr>
          <w:rFonts w:ascii="Noto Sans" w:hAnsi="Noto Sans" w:cs="Noto Sans"/>
          <w:sz w:val="20"/>
          <w:szCs w:val="20"/>
        </w:rPr>
      </w:pPr>
      <w:r w:rsidRPr="003B6E36">
        <w:rPr>
          <w:rFonts w:ascii="Noto Sans" w:hAnsi="Noto Sans" w:cs="Noto Sans"/>
          <w:sz w:val="20"/>
          <w:szCs w:val="20"/>
        </w:rPr>
        <w:t xml:space="preserve">Pawel Poremba, tel. +48 32 621 07 23, </w:t>
      </w:r>
      <w:r w:rsidRPr="003B6E36">
        <w:rPr>
          <w:rFonts w:ascii="Noto Sans" w:hAnsi="Noto Sans" w:cs="Noto Sans"/>
          <w:sz w:val="20"/>
          <w:szCs w:val="20"/>
        </w:rPr>
        <w:br/>
        <w:t xml:space="preserve">e-mail: </w:t>
      </w:r>
      <w:hyperlink r:id="rId14" w:history="1">
        <w:r w:rsidRPr="003B6E36">
          <w:rPr>
            <w:rStyle w:val="Hyperlink"/>
            <w:rFonts w:ascii="Noto Sans" w:hAnsi="Noto Sans" w:cs="Noto Sans"/>
            <w:sz w:val="20"/>
            <w:szCs w:val="20"/>
          </w:rPr>
          <w:t>poremba.pawel@fronius.com</w:t>
        </w:r>
      </w:hyperlink>
    </w:p>
    <w:p w14:paraId="4E295B9B" w14:textId="77777777" w:rsidR="003B6E36" w:rsidRPr="003B6E36" w:rsidRDefault="003B6E36" w:rsidP="003B6E36">
      <w:pPr>
        <w:rPr>
          <w:b/>
          <w:sz w:val="20"/>
          <w:szCs w:val="20"/>
        </w:rPr>
      </w:pPr>
      <w:r w:rsidRPr="003B6E36">
        <w:rPr>
          <w:b/>
          <w:sz w:val="20"/>
          <w:szCs w:val="20"/>
        </w:rPr>
        <w:t xml:space="preserve"> </w:t>
      </w:r>
    </w:p>
    <w:p w14:paraId="23AC3A14" w14:textId="77777777" w:rsidR="003B6E36" w:rsidRPr="003B6E36" w:rsidRDefault="003B6E36" w:rsidP="003B6E36">
      <w:pPr>
        <w:pStyle w:val="StandardWeb"/>
        <w:spacing w:before="0" w:beforeAutospacing="0" w:after="0" w:afterAutospacing="0"/>
        <w:rPr>
          <w:rFonts w:ascii="Noto Sans" w:hAnsi="Noto Sans" w:cs="Noto Sans"/>
          <w:sz w:val="20"/>
          <w:szCs w:val="20"/>
          <w:u w:val="single"/>
        </w:rPr>
      </w:pPr>
      <w:r w:rsidRPr="003B6E36">
        <w:rPr>
          <w:rFonts w:ascii="Noto Sans" w:hAnsi="Noto Sans" w:cs="Noto Sans"/>
          <w:sz w:val="20"/>
          <w:szCs w:val="20"/>
          <w:u w:val="single"/>
        </w:rPr>
        <w:t>Prosimy o przesłanie kopii dokumentu do naszej agencji:</w:t>
      </w:r>
    </w:p>
    <w:p w14:paraId="213CD2E8" w14:textId="77777777" w:rsidR="003B6E36" w:rsidRPr="003B6E36" w:rsidRDefault="003B6E36" w:rsidP="003B6E36">
      <w:pPr>
        <w:pStyle w:val="StandardWeb"/>
        <w:spacing w:before="0" w:beforeAutospacing="0" w:after="0" w:afterAutospacing="0"/>
        <w:rPr>
          <w:rFonts w:ascii="Noto Sans" w:hAnsi="Noto Sans" w:cs="Noto Sans"/>
          <w:sz w:val="20"/>
          <w:szCs w:val="20"/>
        </w:rPr>
      </w:pPr>
      <w:r w:rsidRPr="003B6E36">
        <w:rPr>
          <w:rFonts w:ascii="Noto Sans" w:hAnsi="Noto Sans" w:cs="Noto Sans"/>
          <w:sz w:val="20"/>
          <w:szCs w:val="20"/>
        </w:rPr>
        <w:t>a1kommunikation Schweizer GmbH, do rąk pani Kirsten Ludwig,</w:t>
      </w:r>
    </w:p>
    <w:p w14:paraId="3573C641" w14:textId="77777777" w:rsidR="003B6E36" w:rsidRPr="003B6E36" w:rsidRDefault="003B6E36" w:rsidP="003B6E36">
      <w:pPr>
        <w:pStyle w:val="StandardWeb"/>
        <w:spacing w:before="0" w:beforeAutospacing="0" w:after="0" w:afterAutospacing="0"/>
        <w:rPr>
          <w:rFonts w:ascii="Noto Sans" w:hAnsi="Noto Sans" w:cs="Noto Sans"/>
          <w:sz w:val="20"/>
          <w:szCs w:val="20"/>
        </w:rPr>
      </w:pPr>
      <w:r w:rsidRPr="003B6E36">
        <w:rPr>
          <w:rFonts w:ascii="Noto Sans" w:hAnsi="Noto Sans" w:cs="Noto Sans"/>
          <w:sz w:val="20"/>
          <w:szCs w:val="20"/>
        </w:rPr>
        <w:t>Oberdorfstraße 31 A, 70794 Filderstadt, Deutschland</w:t>
      </w:r>
    </w:p>
    <w:p w14:paraId="35897964" w14:textId="77777777" w:rsidR="003B6E36" w:rsidRPr="003B6E36" w:rsidRDefault="003B6E36" w:rsidP="003B6E36">
      <w:pPr>
        <w:pStyle w:val="StandardWeb"/>
        <w:spacing w:before="0" w:beforeAutospacing="0" w:after="0" w:afterAutospacing="0"/>
        <w:rPr>
          <w:rFonts w:ascii="Noto Sans" w:hAnsi="Noto Sans" w:cs="Noto Sans"/>
          <w:sz w:val="20"/>
          <w:szCs w:val="20"/>
        </w:rPr>
      </w:pPr>
      <w:r w:rsidRPr="003B6E36">
        <w:rPr>
          <w:rFonts w:ascii="Noto Sans" w:hAnsi="Noto Sans" w:cs="Noto Sans"/>
          <w:sz w:val="20"/>
          <w:szCs w:val="20"/>
        </w:rPr>
        <w:t xml:space="preserve">tel.: +49 0 711 9454161-20, </w:t>
      </w:r>
      <w:r w:rsidRPr="003B6E36">
        <w:rPr>
          <w:rFonts w:ascii="Noto Sans" w:hAnsi="Noto Sans" w:cs="Noto Sans"/>
          <w:sz w:val="20"/>
          <w:szCs w:val="20"/>
        </w:rPr>
        <w:br/>
        <w:t xml:space="preserve">e-mail: </w:t>
      </w:r>
      <w:hyperlink r:id="rId15" w:history="1">
        <w:r w:rsidRPr="003B6E36">
          <w:rPr>
            <w:rStyle w:val="Hyperlink"/>
            <w:rFonts w:ascii="Noto Sans" w:hAnsi="Noto Sans" w:cs="Noto Sans"/>
            <w:sz w:val="20"/>
            <w:szCs w:val="20"/>
          </w:rPr>
          <w:t>kirsten.ludwig@a1kommunikation.de</w:t>
        </w:r>
      </w:hyperlink>
    </w:p>
    <w:p w14:paraId="7602B9A2" w14:textId="77777777" w:rsidR="003B6E36" w:rsidRPr="003B6E36" w:rsidRDefault="003B6E36" w:rsidP="003B6E36">
      <w:pPr>
        <w:pStyle w:val="StandardWeb"/>
        <w:spacing w:before="0" w:beforeAutospacing="0" w:after="0" w:afterAutospacing="0"/>
        <w:rPr>
          <w:rFonts w:ascii="Noto Sans" w:hAnsi="Noto Sans" w:cs="Noto Sans"/>
          <w:sz w:val="20"/>
          <w:szCs w:val="20"/>
        </w:rPr>
      </w:pPr>
    </w:p>
    <w:p w14:paraId="6198608E" w14:textId="77777777" w:rsidR="003B6E36" w:rsidRPr="003B6E36" w:rsidRDefault="003B6E36" w:rsidP="003B6E36">
      <w:pPr>
        <w:rPr>
          <w:bCs/>
          <w:sz w:val="20"/>
          <w:szCs w:val="20"/>
        </w:rPr>
      </w:pPr>
    </w:p>
    <w:p w14:paraId="09FBE241" w14:textId="1DF71851" w:rsidR="003B6E36" w:rsidRPr="00DF0AAD" w:rsidRDefault="003B6E36" w:rsidP="00DF0AAD">
      <w:pPr>
        <w:rPr>
          <w:bCs/>
          <w:sz w:val="20"/>
          <w:szCs w:val="20"/>
        </w:rPr>
      </w:pPr>
      <w:r w:rsidRPr="003B6E36">
        <w:rPr>
          <w:bCs/>
          <w:sz w:val="20"/>
          <w:szCs w:val="20"/>
        </w:rPr>
        <w:t>Więcej ciekawych artykułów można znaleźć na naszym blogu pod adresem blog.perfectwelding.com. Zachęcamy również do śledzenia nas w serwisach Facebook (froniuswelding), Twitter (froniusintweld), LinkedIn (perfect-welding) oraz YouTube (froniuswelding)!</w:t>
      </w:r>
    </w:p>
    <w:sectPr w:rsidR="003B6E36" w:rsidRPr="00DF0AAD">
      <w:headerReference w:type="default" r:id="rId16"/>
      <w:footerReference w:type="default" r:id="rId17"/>
      <w:pgSz w:w="11900" w:h="16840"/>
      <w:pgMar w:top="1417" w:right="1417" w:bottom="1134"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303C32" w14:textId="77777777" w:rsidR="004D0D77" w:rsidRDefault="004D0D77">
      <w:pPr>
        <w:spacing w:after="0" w:line="240" w:lineRule="auto"/>
      </w:pPr>
      <w:r>
        <w:separator/>
      </w:r>
    </w:p>
  </w:endnote>
  <w:endnote w:type="continuationSeparator" w:id="0">
    <w:p w14:paraId="0647C796" w14:textId="77777777" w:rsidR="004D0D77" w:rsidRDefault="004D0D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Noto Sans">
    <w:panose1 w:val="020B0502040504020204"/>
    <w:charset w:val="00"/>
    <w:family w:val="swiss"/>
    <w:pitch w:val="variable"/>
    <w:sig w:usb0="E00082FF" w:usb1="400078FF" w:usb2="0000002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Neue">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FD774D" w14:textId="77777777" w:rsidR="00ED5042" w:rsidRDefault="00ED5042">
    <w:pPr>
      <w:pStyle w:val="Fuzeile"/>
      <w:tabs>
        <w:tab w:val="clear" w:pos="9072"/>
        <w:tab w:val="right" w:pos="904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AC75DE" w14:textId="77777777" w:rsidR="004D0D77" w:rsidRDefault="004D0D77">
      <w:pPr>
        <w:spacing w:after="0" w:line="240" w:lineRule="auto"/>
      </w:pPr>
      <w:r>
        <w:separator/>
      </w:r>
    </w:p>
  </w:footnote>
  <w:footnote w:type="continuationSeparator" w:id="0">
    <w:p w14:paraId="5CBB68F8" w14:textId="77777777" w:rsidR="004D0D77" w:rsidRDefault="004D0D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AACBDB" w14:textId="77777777" w:rsidR="00ED5042" w:rsidRDefault="00B801F9">
    <w:pPr>
      <w:pStyle w:val="Kopfzeile"/>
      <w:tabs>
        <w:tab w:val="clear" w:pos="9072"/>
        <w:tab w:val="right" w:pos="9046"/>
      </w:tabs>
    </w:pPr>
    <w:r>
      <w:rPr>
        <w:noProof/>
      </w:rPr>
      <w:drawing>
        <wp:anchor distT="152400" distB="152400" distL="152400" distR="152400" simplePos="0" relativeHeight="251658240" behindDoc="1" locked="0" layoutInCell="1" allowOverlap="1" wp14:anchorId="2CE103A4" wp14:editId="4F557774">
          <wp:simplePos x="0" y="0"/>
          <wp:positionH relativeFrom="page">
            <wp:posOffset>5949589</wp:posOffset>
          </wp:positionH>
          <wp:positionV relativeFrom="page">
            <wp:posOffset>350091</wp:posOffset>
          </wp:positionV>
          <wp:extent cx="1260001" cy="369528"/>
          <wp:effectExtent l="0" t="0" r="0" b="0"/>
          <wp:wrapNone/>
          <wp:docPr id="1073741825" name="officeArt object" descr="Grafika 1"/>
          <wp:cNvGraphicFramePr/>
          <a:graphic xmlns:a="http://schemas.openxmlformats.org/drawingml/2006/main">
            <a:graphicData uri="http://schemas.openxmlformats.org/drawingml/2006/picture">
              <pic:pic xmlns:pic="http://schemas.openxmlformats.org/drawingml/2006/picture">
                <pic:nvPicPr>
                  <pic:cNvPr id="1073741825" name="Grafik 1" descr="Grafik 1"/>
                  <pic:cNvPicPr>
                    <a:picLocks noChangeAspect="1"/>
                  </pic:cNvPicPr>
                </pic:nvPicPr>
                <pic:blipFill>
                  <a:blip r:embed="rId1"/>
                  <a:stretch>
                    <a:fillRect/>
                  </a:stretch>
                </pic:blipFill>
                <pic:spPr>
                  <a:xfrm>
                    <a:off x="0" y="0"/>
                    <a:ext cx="1260001" cy="369528"/>
                  </a:xfrm>
                  <a:prstGeom prst="rect">
                    <a:avLst/>
                  </a:prstGeom>
                  <a:ln w="12700" cap="flat">
                    <a:noFill/>
                    <a:miter lim="400000"/>
                  </a:ln>
                  <a:effectLst/>
                </pic:spPr>
              </pic:pic>
            </a:graphicData>
          </a:graphic>
        </wp:anchor>
      </w:drawing>
    </w:r>
    <w:r>
      <w:rPr>
        <w:noProof/>
      </w:rPr>
      <mc:AlternateContent>
        <mc:Choice Requires="wps">
          <w:drawing>
            <wp:anchor distT="152400" distB="152400" distL="152400" distR="152400" simplePos="0" relativeHeight="251659264" behindDoc="1" locked="0" layoutInCell="1" allowOverlap="1" wp14:anchorId="1CD484EB" wp14:editId="1FFBF4CE">
              <wp:simplePos x="0" y="0"/>
              <wp:positionH relativeFrom="page">
                <wp:posOffset>848360</wp:posOffset>
              </wp:positionH>
              <wp:positionV relativeFrom="page">
                <wp:posOffset>10050144</wp:posOffset>
              </wp:positionV>
              <wp:extent cx="6050915" cy="222884"/>
              <wp:effectExtent l="0" t="0" r="0" b="0"/>
              <wp:wrapNone/>
              <wp:docPr id="1073741826" name="officeArt object" descr="Pole tekstowe 212"/>
              <wp:cNvGraphicFramePr/>
              <a:graphic xmlns:a="http://schemas.openxmlformats.org/drawingml/2006/main">
                <a:graphicData uri="http://schemas.microsoft.com/office/word/2010/wordprocessingShape">
                  <wps:wsp>
                    <wps:cNvSpPr txBox="1"/>
                    <wps:spPr>
                      <a:xfrm>
                        <a:off x="0" y="0"/>
                        <a:ext cx="6050915" cy="222884"/>
                      </a:xfrm>
                      <a:prstGeom prst="rect">
                        <a:avLst/>
                      </a:prstGeom>
                      <a:noFill/>
                      <a:ln w="12700" cap="flat">
                        <a:noFill/>
                        <a:miter lim="400000"/>
                      </a:ln>
                      <a:effectLst/>
                    </wps:spPr>
                    <wps:txbx>
                      <w:txbxContent>
                        <w:p w14:paraId="55A147B8" w14:textId="77777777" w:rsidR="00ED5042" w:rsidRDefault="00B801F9">
                          <w:pPr>
                            <w:spacing w:after="0" w:line="293" w:lineRule="auto"/>
                          </w:pPr>
                          <w:r>
                            <w:rPr>
                              <w:sz w:val="12"/>
                            </w:rPr>
                            <w:t>Klasa informacji: publiczna</w:t>
                          </w:r>
                        </w:p>
                      </w:txbxContent>
                    </wps:txbx>
                    <wps:bodyPr wrap="square" lIns="45719" tIns="45719" rIns="45719" bIns="45719" numCol="1" anchor="t">
                      <a:noAutofit/>
                    </wps:bodyPr>
                  </wps:wsp>
                </a:graphicData>
              </a:graphic>
            </wp:anchor>
          </w:drawing>
        </mc:Choice>
        <mc:Fallback>
          <w:pict>
            <v:shapetype w14:anchorId="1CD484EB" id="_x0000_t202" coordsize="21600,21600" o:spt="202" path="m,l,21600r21600,l21600,xe">
              <v:stroke joinstyle="miter"/>
              <v:path gradientshapeok="t" o:connecttype="rect"/>
            </v:shapetype>
            <v:shape id="officeArt object" o:spid="_x0000_s1026" type="#_x0000_t202" alt="Pole tekstowe 212" style="position:absolute;margin-left:66.8pt;margin-top:791.35pt;width:476.45pt;height:17.55pt;z-index:-251657216;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" filled="f" stroked="f" strokeweight="1pt">
              <v:stroke miterlimit="4"/>
              <v:textbox inset="1.27mm,1.27mm,1.27mm,1.27mm">
                <w:txbxContent>
                  <w:p w14:paraId="55A147B8" w14:textId="77777777" w:rsidR="00ED5042" w:rsidRDefault="00B801F9">
                    <w:pPr>
                      <w:spacing w:after="0" w:line="293" w:lineRule="auto"/>
                    </w:pPr>
                    <w:r>
                      <w:rPr>
                        <w:sz w:val="12"/>
                      </w:rPr>
                      <w:t>Klasa informacji: publiczna</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5042"/>
    <w:rsid w:val="000039B8"/>
    <w:rsid w:val="00011FC5"/>
    <w:rsid w:val="000571F8"/>
    <w:rsid w:val="000B3BF0"/>
    <w:rsid w:val="000C6FB2"/>
    <w:rsid w:val="000E6245"/>
    <w:rsid w:val="00141239"/>
    <w:rsid w:val="00153E62"/>
    <w:rsid w:val="0018477B"/>
    <w:rsid w:val="001E246D"/>
    <w:rsid w:val="00200AA8"/>
    <w:rsid w:val="00202493"/>
    <w:rsid w:val="00213403"/>
    <w:rsid w:val="00237169"/>
    <w:rsid w:val="002968C9"/>
    <w:rsid w:val="002B5D18"/>
    <w:rsid w:val="00331F38"/>
    <w:rsid w:val="00370A52"/>
    <w:rsid w:val="00375162"/>
    <w:rsid w:val="003B6E36"/>
    <w:rsid w:val="004B7F42"/>
    <w:rsid w:val="004C3056"/>
    <w:rsid w:val="004D0D77"/>
    <w:rsid w:val="004E21B3"/>
    <w:rsid w:val="004E230C"/>
    <w:rsid w:val="005010EB"/>
    <w:rsid w:val="00555EE0"/>
    <w:rsid w:val="005634D3"/>
    <w:rsid w:val="00570F69"/>
    <w:rsid w:val="00585EEA"/>
    <w:rsid w:val="005D343B"/>
    <w:rsid w:val="00654255"/>
    <w:rsid w:val="006626BC"/>
    <w:rsid w:val="007860AD"/>
    <w:rsid w:val="007A6146"/>
    <w:rsid w:val="00975E4F"/>
    <w:rsid w:val="0097670B"/>
    <w:rsid w:val="0098114E"/>
    <w:rsid w:val="00A85C34"/>
    <w:rsid w:val="00AA2255"/>
    <w:rsid w:val="00AF7BBD"/>
    <w:rsid w:val="00B40422"/>
    <w:rsid w:val="00B72C9F"/>
    <w:rsid w:val="00B801F9"/>
    <w:rsid w:val="00B865C9"/>
    <w:rsid w:val="00BF570B"/>
    <w:rsid w:val="00C42844"/>
    <w:rsid w:val="00C42B00"/>
    <w:rsid w:val="00CF5BE6"/>
    <w:rsid w:val="00D3161E"/>
    <w:rsid w:val="00D6148E"/>
    <w:rsid w:val="00DF0AAD"/>
    <w:rsid w:val="00E277FF"/>
    <w:rsid w:val="00EA6CB1"/>
    <w:rsid w:val="00EB20A8"/>
    <w:rsid w:val="00ED2C83"/>
    <w:rsid w:val="00ED5042"/>
    <w:rsid w:val="00EF3C07"/>
    <w:rsid w:val="00F76B06"/>
    <w:rsid w:val="00F97DF4"/>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8A2AEED"/>
  <w15:docId w15:val="{EBA280C1-EA2F-40B0-9F53-5444274C4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pl-PL" w:eastAsia="de-A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160" w:line="259" w:lineRule="auto"/>
    </w:pPr>
    <w:rPr>
      <w:rFonts w:ascii="Noto Sans" w:eastAsia="Noto Sans" w:hAnsi="Noto Sans" w:cs="Noto Sans"/>
      <w:color w:val="000000"/>
      <w:sz w:val="22"/>
      <w:szCs w:val="22"/>
      <w:u w:color="000000"/>
      <w14:textOutline w14:w="0" w14:cap="flat" w14:cmpd="sng" w14:algn="ctr">
        <w14:noFill/>
        <w14:prstDash w14:val="solid"/>
        <w14:bevel/>
      </w14:textOutline>
    </w:rPr>
  </w:style>
  <w:style w:type="paragraph" w:styleId="berschrift1">
    <w:name w:val="heading 1"/>
    <w:next w:val="Standard"/>
    <w:uiPriority w:val="9"/>
    <w:qFormat/>
    <w:pPr>
      <w:keepNext/>
      <w:keepLines/>
      <w:spacing w:before="240" w:line="259" w:lineRule="auto"/>
      <w:outlineLvl w:val="0"/>
    </w:pPr>
    <w:rPr>
      <w:rFonts w:ascii="Noto Sans" w:eastAsia="Noto Sans" w:hAnsi="Noto Sans" w:cs="Noto Sans"/>
      <w:color w:val="D73237"/>
      <w:sz w:val="36"/>
      <w:szCs w:val="36"/>
      <w:u w:color="D73237"/>
    </w:rPr>
  </w:style>
  <w:style w:type="paragraph" w:styleId="berschrift2">
    <w:name w:val="heading 2"/>
    <w:next w:val="Standard"/>
    <w:uiPriority w:val="9"/>
    <w:unhideWhenUsed/>
    <w:qFormat/>
    <w:pPr>
      <w:keepNext/>
      <w:keepLines/>
      <w:spacing w:before="40" w:line="259" w:lineRule="auto"/>
      <w:outlineLvl w:val="1"/>
    </w:pPr>
    <w:rPr>
      <w:rFonts w:ascii="Noto Sans" w:eastAsia="Noto Sans" w:hAnsi="Noto Sans" w:cs="Noto Sans"/>
      <w:color w:val="D73237"/>
      <w:sz w:val="28"/>
      <w:szCs w:val="28"/>
      <w:u w:color="D73237"/>
    </w:rPr>
  </w:style>
  <w:style w:type="paragraph" w:styleId="berschrift4">
    <w:name w:val="heading 4"/>
    <w:next w:val="Standard"/>
    <w:uiPriority w:val="9"/>
    <w:unhideWhenUsed/>
    <w:qFormat/>
    <w:pPr>
      <w:keepNext/>
      <w:keepLines/>
      <w:spacing w:before="40" w:line="259" w:lineRule="auto"/>
      <w:outlineLvl w:val="3"/>
    </w:pPr>
    <w:rPr>
      <w:rFonts w:ascii="Noto Sans" w:eastAsia="Noto Sans" w:hAnsi="Noto Sans" w:cs="Noto Sans"/>
      <w:color w:val="000000"/>
      <w:sz w:val="22"/>
      <w:szCs w:val="22"/>
      <w:u w:val="single" w:color="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1">
    <w:name w:val="Table Normal1"/>
    <w:tblPr>
      <w:tblInd w:w="0" w:type="dxa"/>
      <w:tblCellMar>
        <w:top w:w="0" w:type="dxa"/>
        <w:left w:w="0" w:type="dxa"/>
        <w:bottom w:w="0" w:type="dxa"/>
        <w:right w:w="0" w:type="dxa"/>
      </w:tblCellMar>
    </w:tblPr>
  </w:style>
  <w:style w:type="paragraph" w:styleId="Kopfzeile">
    <w:name w:val="header"/>
    <w:pPr>
      <w:tabs>
        <w:tab w:val="center" w:pos="4536"/>
        <w:tab w:val="right" w:pos="9072"/>
      </w:tabs>
    </w:pPr>
    <w:rPr>
      <w:rFonts w:ascii="Noto Sans" w:eastAsia="Noto Sans" w:hAnsi="Noto Sans" w:cs="Noto Sans"/>
      <w:color w:val="000000"/>
      <w:sz w:val="22"/>
      <w:szCs w:val="22"/>
      <w:u w:color="000000"/>
    </w:rPr>
  </w:style>
  <w:style w:type="paragraph" w:styleId="Fuzeile">
    <w:name w:val="footer"/>
    <w:pPr>
      <w:tabs>
        <w:tab w:val="center" w:pos="4536"/>
        <w:tab w:val="right" w:pos="9072"/>
      </w:tabs>
    </w:pPr>
    <w:rPr>
      <w:rFonts w:ascii="Noto Sans" w:eastAsia="Noto Sans" w:hAnsi="Noto Sans" w:cs="Noto Sans"/>
      <w:color w:val="000000"/>
      <w:sz w:val="22"/>
      <w:szCs w:val="22"/>
      <w:u w:color="000000"/>
    </w:rPr>
  </w:style>
  <w:style w:type="paragraph" w:customStyle="1" w:styleId="HeadlineGreen">
    <w:name w:val="Headline Green"/>
    <w:next w:val="Standard"/>
    <w:pPr>
      <w:keepNext/>
      <w:keepLines/>
      <w:spacing w:before="240" w:line="259" w:lineRule="auto"/>
      <w:outlineLvl w:val="0"/>
    </w:pPr>
    <w:rPr>
      <w:rFonts w:ascii="Noto Sans" w:eastAsia="Noto Sans" w:hAnsi="Noto Sans" w:cs="Noto Sans"/>
      <w:color w:val="B4C3AA"/>
      <w:sz w:val="36"/>
      <w:szCs w:val="36"/>
      <w:u w:color="B4C3AA"/>
    </w:rPr>
  </w:style>
  <w:style w:type="paragraph" w:styleId="Kommentartext">
    <w:name w:val="annotation text"/>
    <w:basedOn w:val="Standard"/>
    <w:link w:val="KommentartextZchn"/>
    <w:uiPriority w:val="99"/>
    <w:unhideWhenUsed/>
    <w:pPr>
      <w:spacing w:line="240" w:lineRule="auto"/>
    </w:pPr>
    <w:rPr>
      <w:sz w:val="20"/>
      <w:szCs w:val="20"/>
    </w:rPr>
  </w:style>
  <w:style w:type="character" w:customStyle="1" w:styleId="KommentartextZchn">
    <w:name w:val="Kommentartext Zchn"/>
    <w:basedOn w:val="Absatz-Standardschriftart"/>
    <w:link w:val="Kommentartext"/>
    <w:uiPriority w:val="99"/>
    <w:rPr>
      <w:rFonts w:ascii="Noto Sans" w:eastAsia="Noto Sans" w:hAnsi="Noto Sans" w:cs="Noto Sans"/>
      <w:color w:val="000000"/>
      <w:u w:color="000000"/>
      <w:lang w:val="pl-PL"/>
      <w14:textOutline w14:w="0" w14:cap="flat" w14:cmpd="sng" w14:algn="ctr">
        <w14:noFill/>
        <w14:prstDash w14:val="solid"/>
        <w14:bevel/>
      </w14:textOutline>
    </w:rPr>
  </w:style>
  <w:style w:type="character" w:styleId="Kommentarzeichen">
    <w:name w:val="annotation reference"/>
    <w:basedOn w:val="Absatz-Standardschriftart"/>
    <w:uiPriority w:val="99"/>
    <w:semiHidden/>
    <w:unhideWhenUsed/>
    <w:rPr>
      <w:sz w:val="16"/>
      <w:szCs w:val="16"/>
    </w:rPr>
  </w:style>
  <w:style w:type="paragraph" w:styleId="berarbeitung">
    <w:name w:val="Revision"/>
    <w:hidden/>
    <w:uiPriority w:val="99"/>
    <w:semiHidden/>
    <w:rsid w:val="00D6148E"/>
    <w:pPr>
      <w:pBdr>
        <w:top w:val="none" w:sz="0" w:space="0" w:color="auto"/>
        <w:left w:val="none" w:sz="0" w:space="0" w:color="auto"/>
        <w:bottom w:val="none" w:sz="0" w:space="0" w:color="auto"/>
        <w:right w:val="none" w:sz="0" w:space="0" w:color="auto"/>
        <w:between w:val="none" w:sz="0" w:space="0" w:color="auto"/>
        <w:bar w:val="none" w:sz="0" w:color="auto"/>
      </w:pBdr>
    </w:pPr>
    <w:rPr>
      <w:rFonts w:ascii="Noto Sans" w:eastAsia="Noto Sans" w:hAnsi="Noto Sans" w:cs="Noto Sans"/>
      <w:color w:val="000000"/>
      <w:sz w:val="22"/>
      <w:szCs w:val="22"/>
      <w:u w:color="000000"/>
      <w14:textOutline w14:w="0" w14:cap="flat" w14:cmpd="sng" w14:algn="ctr">
        <w14:noFill/>
        <w14:prstDash w14:val="solid"/>
        <w14:bevel/>
      </w14:textOutline>
    </w:rPr>
  </w:style>
  <w:style w:type="paragraph" w:styleId="Kommentarthema">
    <w:name w:val="annotation subject"/>
    <w:basedOn w:val="Kommentartext"/>
    <w:next w:val="Kommentartext"/>
    <w:link w:val="KommentarthemaZchn"/>
    <w:uiPriority w:val="99"/>
    <w:semiHidden/>
    <w:unhideWhenUsed/>
    <w:rsid w:val="00D6148E"/>
    <w:rPr>
      <w:b/>
      <w:bCs/>
    </w:rPr>
  </w:style>
  <w:style w:type="character" w:customStyle="1" w:styleId="KommentarthemaZchn">
    <w:name w:val="Kommentarthema Zchn"/>
    <w:basedOn w:val="KommentartextZchn"/>
    <w:link w:val="Kommentarthema"/>
    <w:uiPriority w:val="99"/>
    <w:semiHidden/>
    <w:rsid w:val="00D6148E"/>
    <w:rPr>
      <w:rFonts w:ascii="Noto Sans" w:eastAsia="Noto Sans" w:hAnsi="Noto Sans" w:cs="Noto Sans"/>
      <w:b/>
      <w:bCs/>
      <w:color w:val="000000"/>
      <w:u w:color="000000"/>
      <w:lang w:val="pl-PL"/>
      <w14:textOutline w14:w="0" w14:cap="flat" w14:cmpd="sng" w14:algn="ctr">
        <w14:noFill/>
        <w14:prstDash w14:val="solid"/>
        <w14:bevel/>
      </w14:textOutline>
    </w:rPr>
  </w:style>
  <w:style w:type="paragraph" w:styleId="Sprechblasentext">
    <w:name w:val="Balloon Text"/>
    <w:basedOn w:val="Standard"/>
    <w:link w:val="SprechblasentextZchn"/>
    <w:uiPriority w:val="99"/>
    <w:semiHidden/>
    <w:unhideWhenUsed/>
    <w:rsid w:val="000039B8"/>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039B8"/>
    <w:rPr>
      <w:rFonts w:ascii="Segoe UI" w:eastAsia="Noto Sans" w:hAnsi="Segoe UI" w:cs="Segoe UI"/>
      <w:color w:val="000000"/>
      <w:sz w:val="18"/>
      <w:szCs w:val="18"/>
      <w:u w:color="000000"/>
      <w:lang w:val="pl-PL"/>
      <w14:textOutline w14:w="0" w14:cap="flat" w14:cmpd="sng" w14:algn="ctr">
        <w14:noFill/>
        <w14:prstDash w14:val="solid"/>
        <w14:bevel/>
      </w14:textOutline>
    </w:rPr>
  </w:style>
  <w:style w:type="character" w:customStyle="1" w:styleId="cf01">
    <w:name w:val="cf01"/>
    <w:basedOn w:val="Absatz-Standardschriftart"/>
    <w:rsid w:val="000C6FB2"/>
    <w:rPr>
      <w:rFonts w:ascii="Segoe UI" w:hAnsi="Segoe UI" w:cs="Segoe UI" w:hint="default"/>
      <w:sz w:val="18"/>
      <w:szCs w:val="18"/>
    </w:rPr>
  </w:style>
  <w:style w:type="paragraph" w:styleId="StandardWeb">
    <w:name w:val="Normal (Web)"/>
    <w:basedOn w:val="Standard"/>
    <w:uiPriority w:val="99"/>
    <w:unhideWhenUsed/>
    <w:rsid w:val="003B6E36"/>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pPr>
    <w:rPr>
      <w:rFonts w:ascii="Times New Roman" w:eastAsia="Times New Roman" w:hAnsi="Times New Roman" w:cs="Times New Roman"/>
      <w:color w:val="auto"/>
      <w:sz w:val="24"/>
      <w:szCs w:val="24"/>
      <w:bdr w:val="none" w:sz="0" w:space="0" w:color="auto"/>
      <w14:textOutline w14:w="0" w14:cap="rnd"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09050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customXml" Target="../customXml/item2.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header" Target="header1.xml"/><Relationship Id="rId20" Type="http://schemas.openxmlformats.org/officeDocument/2006/relationships/customXml" Target="../customXml/item1.xml"/><Relationship Id="rId1" Type="http://schemas.openxmlformats.org/officeDocument/2006/relationships/styles" Target="styles.xml"/><Relationship Id="rId6" Type="http://schemas.openxmlformats.org/officeDocument/2006/relationships/hyperlink" Target="https://www.fronius.com/pl-pl/poland/spawalnictwo/centrum-informacyjne/prasa" TargetMode="External"/><Relationship Id="rId11" Type="http://schemas.openxmlformats.org/officeDocument/2006/relationships/image" Target="media/image5.jpeg"/><Relationship Id="rId24" Type="http://schemas.openxmlformats.org/officeDocument/2006/relationships/customXml" Target="../customXml/item5.xml"/><Relationship Id="rId5" Type="http://schemas.openxmlformats.org/officeDocument/2006/relationships/endnotes" Target="endnotes.xml"/><Relationship Id="rId15" Type="http://schemas.openxmlformats.org/officeDocument/2006/relationships/hyperlink" Target="mailto:kirsten.ludwig@a1kommunikation.de" TargetMode="External"/><Relationship Id="rId23" Type="http://schemas.openxmlformats.org/officeDocument/2006/relationships/customXml" Target="../customXml/item4.xml"/><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hyperlink" Target="mailto:poremba.pawel@fronius.com" TargetMode="External"/><Relationship Id="rId22"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#PL</TermName>
          <TermId xmlns="http://schemas.microsoft.com/office/infopath/2007/PartnerControls">e387e492-5c5c-46b1-8f24-94df37df350f</TermId>
        </TermInfo>
      </Terms>
    </k62430406562456c9289cb18a9752f33>
    <title_TI_DE xmlns="dc0c2c3d-e9fc-4a0d-820b-87ab82e65f20">Fakop</title_TI_DE>
    <title_TI_NO xmlns="dc0c2c3d-e9fc-4a0d-820b-87ab82e65f20">Fakop</title_TI_NO>
    <Documenttype_PT xmlns="dc0c2c3d-e9fc-4a0d-820b-87ab82e65f20">Comunicado à imprensa</Documenttype_PT>
    <Documenttype_RU xmlns="dc0c2c3d-e9fc-4a0d-820b-87ab82e65f20">Пресс-релиз</Documenttype_RU>
    <title_TI_TR xmlns="dc0c2c3d-e9fc-4a0d-820b-87ab82e65f20">Fakop</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Fakop</title_TI_TH>
    <Licence_x0020_information xmlns="dc0c2c3d-e9fc-4a0d-820b-87ab82e65f20">(c) Fronius International</Licence_x0020_information>
    <title_TI_EA xmlns="dc0c2c3d-e9fc-4a0d-820b-87ab82e65f20">Fakop</title_TI_EA>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Fakop</title_TI_DA>
    <Documenttype_TR xmlns="dc0c2c3d-e9fc-4a0d-820b-87ab82e65f20">Basın bülteni</Documenttype_TR>
    <title_TI_PL xmlns="dc0c2c3d-e9fc-4a0d-820b-87ab82e65f20">Fakop</title_TI_PL>
    <Documenttype_TH xmlns="dc0c2c3d-e9fc-4a0d-820b-87ab82e65f20">ข่าวประชาสัมพันธ์</Documenttype_TH>
    <title_TI_EL xmlns="dc0c2c3d-e9fc-4a0d-820b-87ab82e65f20">Fakop</title_TI_EL>
    <Documenttype_EA xmlns="dc0c2c3d-e9fc-4a0d-820b-87ab82e65f20">Press Release</Documenttype_EA>
    <title_TI_PT xmlns="dc0c2c3d-e9fc-4a0d-820b-87ab82e65f20">Fakop</title_TI_PT>
    <Web_x0020_Display_x0020_Title_x0020_ET xmlns="dc0c2c3d-e9fc-4a0d-820b-87ab82e65f20">Fakop</Web_x0020_Display_x0020_Title_x0020_ET>
    <title_ti_fi xmlns="dc0c2c3d-e9fc-4a0d-820b-87ab82e65f20">Fakop</title_ti_fi>
    <Resolution xmlns="dc0c2c3d-e9fc-4a0d-820b-87ab82e65f20" xsi:nil="true"/>
    <Country xmlns="dc0c2c3d-e9fc-4a0d-820b-87ab82e65f20">
      <Value>31</Value>
    </Country>
    <fro_spid xmlns="dc0c2c3d-e9fc-4a0d-820b-87ab82e65f20">17942;SE</fro_spid>
    <title_TI_RU xmlns="dc0c2c3d-e9fc-4a0d-820b-87ab82e65f20">Fakop</title_TI_RU>
    <Division xmlns="dc0c2c3d-e9fc-4a0d-820b-87ab82e65f20">Perfect Welding</Division>
    <Documenttype_JA xmlns="dc0c2c3d-e9fc-4a0d-820b-87ab82e65f20">ニュースリリース</Documenttype_JA>
    <Colour_x0020_space xmlns="dc0c2c3d-e9fc-4a0d-820b-87ab82e65f20" xsi:nil="true"/>
    <title_TI_CS xmlns="dc0c2c3d-e9fc-4a0d-820b-87ab82e65f20">Fakop</title_TI_CS>
    <title_TI_AR xmlns="dc0c2c3d-e9fc-4a0d-820b-87ab82e65f20">Fakop</title_TI_AR>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Fakop</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Fakop</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C-138908</FileMaster>
    <title_TI_NL xmlns="dc0c2c3d-e9fc-4a0d-820b-87ab82e65f20">Fakop</title_TI_NL>
    <contentservId xmlns="53041210-5658-4a0d-8a74-f9413e00f15b">C-138912</contentservId>
    <title_TI_IT xmlns="dc0c2c3d-e9fc-4a0d-820b-87ab82e65f20">Fakop</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escription0 xmlns="53041210-5658-4a0d-8a74-f9413e00f15b" xsi:nil="true"/>
    <Documenttype_FR xmlns="dc0c2c3d-e9fc-4a0d-820b-87ab82e65f20">Communiqué de presse</Documenttype_FR>
    <FroCountryExclusive xmlns="dc0c2c3d-e9fc-4a0d-820b-87ab82e65f20">No</FroCountryExclusive>
    <title_TI_UA xmlns="dc0c2c3d-e9fc-4a0d-820b-87ab82e65f20">Fakop</title_TI_UA>
    <title_TI_JP xmlns="dc0c2c3d-e9fc-4a0d-820b-87ab82e65f20">Fakop</title_TI_JP>
    <Documenttype_NL xmlns="dc0c2c3d-e9fc-4a0d-820b-87ab82e65f20">Persbericht</Documenttype_NL>
    <title_TI_RO xmlns="dc0c2c3d-e9fc-4a0d-820b-87ab82e65f20">Fakop</title_TI_RO>
    <Documenttype_NB xmlns="dc0c2c3d-e9fc-4a0d-820b-87ab82e65f20">Presseinformasjon</Documenttype_NB>
    <title_ti_nb xmlns="dc0c2c3d-e9fc-4a0d-820b-87ab82e65f20" xsi:nil="true"/>
    <title_TI_ES xmlns="dc0c2c3d-e9fc-4a0d-820b-87ab82e65f20">Fakop</title_TI_ES>
    <title_TI_JA xmlns="dc0c2c3d-e9fc-4a0d-820b-87ab82e65f20">Fakop</title_TI_JA>
    <TaxCatchAll xmlns="92f60987-cbcc-4245-baaf-239af3bfd6e8">
      <Value>1</Value>
      <Value>258</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Fakop</title_TI_EN>
    <MRMKeyWords xmlns="dc0c2c3d-e9fc-4a0d-820b-87ab82e65f20">#Automation#CMT#Cladding#Presseinformation#Fakop#cladding#Press release#automation#cmt#presseinformation#pressrelease#fakop#</MRMKeyWords>
    <title_ti_zh xmlns="dc0c2c3d-e9fc-4a0d-820b-87ab82e65f20">Fakop</title_ti_zh>
    <MRMID xmlns="dc0c2c3d-e9fc-4a0d-820b-87ab82e65f20">M-194260</MRMID>
    <Documenttype_UK xmlns="dc0c2c3d-e9fc-4a0d-820b-87ab82e65f20">Прес-релізи</Documenttype_UK>
    <title_TI_SK xmlns="dc0c2c3d-e9fc-4a0d-820b-87ab82e65f20">Fakop</title_TI_SK>
    <Documenttype_UA xmlns="dc0c2c3d-e9fc-4a0d-820b-87ab82e65f20">Прес-релізи</Documenttype_UA>
    <title_TI_HU xmlns="dc0c2c3d-e9fc-4a0d-820b-87ab82e65f20">Fakop</title_TI_HU>
    <Country_x0020_Quick_x0020_Select xmlns="dc0c2c3d-e9fc-4a0d-820b-87ab82e65f20">Select...</Country_x0020_Quick_x0020_Select>
    <title_ti_uk xmlns="dc0c2c3d-e9fc-4a0d-820b-87ab82e65f20" xsi:nil="true"/>
    <Fecha xmlns="53041210-5658-4a0d-8a74-f9413e00f15b" xsi:nil="true"/>
  </documentManagement>
</p:properties>
</file>

<file path=customXml/itemProps1.xml><?xml version="1.0" encoding="utf-8"?>
<ds:datastoreItem xmlns:ds="http://schemas.openxmlformats.org/officeDocument/2006/customXml" ds:itemID="{804DA6FD-24ED-4F2E-98DA-C1C6C9E35527}"/>
</file>

<file path=customXml/itemProps2.xml><?xml version="1.0" encoding="utf-8"?>
<ds:datastoreItem xmlns:ds="http://schemas.openxmlformats.org/officeDocument/2006/customXml" ds:itemID="{BFB46519-A8C2-47A0-A7F2-18AA75C57E23}"/>
</file>

<file path=customXml/itemProps3.xml><?xml version="1.0" encoding="utf-8"?>
<ds:datastoreItem xmlns:ds="http://schemas.openxmlformats.org/officeDocument/2006/customXml" ds:itemID="{8AB6E955-BBB8-427C-B929-D6DA738F4E07}"/>
</file>

<file path=customXml/itemProps4.xml><?xml version="1.0" encoding="utf-8"?>
<ds:datastoreItem xmlns:ds="http://schemas.openxmlformats.org/officeDocument/2006/customXml" ds:itemID="{1C51D62E-FD0F-458B-B2C4-CC8273265E79}"/>
</file>

<file path=customXml/itemProps5.xml><?xml version="1.0" encoding="utf-8"?>
<ds:datastoreItem xmlns:ds="http://schemas.openxmlformats.org/officeDocument/2006/customXml" ds:itemID="{FCA5E5BC-A05E-4AC2-9687-8E3450DAB208}"/>
</file>

<file path=docProps/app.xml><?xml version="1.0" encoding="utf-8"?>
<Properties xmlns="http://schemas.openxmlformats.org/officeDocument/2006/extended-properties" xmlns:vt="http://schemas.openxmlformats.org/officeDocument/2006/docPropsVTypes">
  <Template>Normal.dotm</Template>
  <TotalTime>0</TotalTime>
  <Pages>5</Pages>
  <Words>1389</Words>
  <Characters>8757</Characters>
  <Application>Microsoft Office Word</Application>
  <DocSecurity>0</DocSecurity>
  <Lines>72</Lines>
  <Paragraphs>20</Paragraphs>
  <ScaleCrop>false</ScaleCrop>
  <HeadingPairs>
    <vt:vector size="2" baseType="variant">
      <vt:variant>
        <vt:lpstr>Titel</vt:lpstr>
      </vt:variant>
      <vt:variant>
        <vt:i4>1</vt:i4>
      </vt:variant>
    </vt:vector>
  </HeadingPairs>
  <TitlesOfParts>
    <vt:vector size="1" baseType="lpstr">
      <vt:lpstr/>
    </vt:vector>
  </TitlesOfParts>
  <Company>Fronius International GmbH</Company>
  <LinksUpToDate>false</LinksUpToDate>
  <CharactersWithSpaces>10126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PW_PR_Fakop_PL</dc:title>
  <dc:creator>Aitzetmueller Christian</dc:creator>
  <cp:lastModifiedBy>Pointner Karin</cp:lastModifiedBy>
  <cp:revision>6</cp:revision>
  <cp:lastPrinted>2022-10-24T08:11:00Z</cp:lastPrinted>
  <dcterms:created xsi:type="dcterms:W3CDTF">2022-10-25T08:25:00Z</dcterms:created>
  <dcterms:modified xsi:type="dcterms:W3CDTF">2022-12-12T10:22:00Z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Language">
    <vt:lpwstr>258;##PL|e387e492-5c5c-46b1-8f24-94df37df350f</vt:lpwstr>
  </property>
  <property fmtid="{D5CDD505-2E9C-101B-9397-08002B2CF9AE}" pid="10" name="FroConDoc_language">
    <vt:lpwstr>1;#DE|676160ea-61f7-4cef-8b4c-1724dec2206e</vt:lpwstr>
  </property>
</Properties>
</file>