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98669" w14:textId="5E3E5AB5" w:rsidR="003867A8" w:rsidRPr="002F207D" w:rsidRDefault="003867A8" w:rsidP="003867A8">
      <w:pPr>
        <w:pStyle w:val="berschrift1"/>
        <w:jc w:val="both"/>
      </w:pPr>
      <w:r>
        <w:rPr>
          <w:rFonts w:hint="eastAsia"/>
        </w:rPr>
        <w:t>ニュースリリース</w:t>
      </w:r>
    </w:p>
    <w:p w14:paraId="6DC621BD" w14:textId="77777777" w:rsidR="003867A8" w:rsidRPr="002F207D" w:rsidRDefault="003867A8" w:rsidP="003867A8">
      <w:pPr>
        <w:jc w:val="both"/>
      </w:pPr>
      <w:r>
        <w:rPr>
          <w:rFonts w:hint="eastAsia"/>
        </w:rPr>
        <w:t>パーフェクトウェルディング</w:t>
      </w:r>
    </w:p>
    <w:p w14:paraId="27DE43DF" w14:textId="77777777" w:rsidR="00E44E89" w:rsidRDefault="00E44E89" w:rsidP="00E44E89">
      <w:pPr>
        <w:jc w:val="both"/>
      </w:pPr>
    </w:p>
    <w:p w14:paraId="28800749" w14:textId="290E624F" w:rsidR="00E44E89" w:rsidRDefault="00E44E89" w:rsidP="00E44E89">
      <w:pPr>
        <w:jc w:val="both"/>
        <w:rPr>
          <w:sz w:val="22"/>
        </w:rPr>
      </w:pPr>
      <w:r>
        <w:t>CMT</w:t>
      </w:r>
      <w:r>
        <w:rPr>
          <w:rFonts w:hint="eastAsia"/>
        </w:rPr>
        <w:t>技術による</w:t>
      </w:r>
      <w:r>
        <w:t>12</w:t>
      </w:r>
      <w:r>
        <w:rPr>
          <w:rFonts w:hint="eastAsia"/>
        </w:rPr>
        <w:t>メートル高フィン付き壁の肉盛溶接</w:t>
      </w:r>
    </w:p>
    <w:p w14:paraId="52A452E3" w14:textId="77777777" w:rsidR="00E44E89" w:rsidRPr="00E44E89" w:rsidRDefault="00E44E89" w:rsidP="00E44E89">
      <w:pPr>
        <w:rPr>
          <w:caps/>
          <w:color w:val="C00000"/>
          <w:sz w:val="32"/>
          <w:szCs w:val="32"/>
        </w:rPr>
      </w:pPr>
      <w:r w:rsidRPr="00E44E89">
        <w:rPr>
          <w:rFonts w:hint="eastAsia"/>
          <w:caps/>
          <w:color w:val="C00000"/>
          <w:sz w:val="32"/>
        </w:rPr>
        <w:t>フィン付き壁用の</w:t>
      </w:r>
      <w:r w:rsidRPr="00E44E89">
        <w:rPr>
          <w:caps/>
          <w:color w:val="C00000"/>
          <w:sz w:val="32"/>
        </w:rPr>
        <w:t>CMT</w:t>
      </w:r>
      <w:r w:rsidRPr="00E44E89">
        <w:rPr>
          <w:rFonts w:hint="eastAsia"/>
          <w:caps/>
          <w:color w:val="C00000"/>
          <w:sz w:val="32"/>
        </w:rPr>
        <w:t>肉盛溶接タワー</w:t>
      </w:r>
    </w:p>
    <w:p w14:paraId="050CA05E" w14:textId="77777777" w:rsidR="00E44E89" w:rsidRDefault="00E44E89" w:rsidP="00E44E89">
      <w:pPr>
        <w:rPr>
          <w:vanish/>
          <w:sz w:val="21"/>
          <w:szCs w:val="21"/>
        </w:rPr>
      </w:pPr>
      <w:r>
        <w:t xml:space="preserve">SHI FW </w:t>
      </w:r>
      <w:proofErr w:type="spellStart"/>
      <w:r>
        <w:t>Energia</w:t>
      </w:r>
      <w:proofErr w:type="spellEnd"/>
      <w:r>
        <w:t xml:space="preserve"> FAKOP (FAKOP) </w:t>
      </w:r>
      <w:r>
        <w:rPr>
          <w:rFonts w:hint="eastAsia"/>
        </w:rPr>
        <w:t>は、</w:t>
      </w:r>
      <w:r>
        <w:t>1</w:t>
      </w:r>
      <w:r>
        <w:rPr>
          <w:rFonts w:hint="eastAsia"/>
        </w:rPr>
        <w:t>世紀以上にわたる歴史と伝統を反映しています。その起源は、</w:t>
      </w:r>
      <w:r>
        <w:t xml:space="preserve">Wilhelm </w:t>
      </w:r>
      <w:proofErr w:type="spellStart"/>
      <w:r>
        <w:t>Fitzner</w:t>
      </w:r>
      <w:proofErr w:type="spellEnd"/>
      <w:r>
        <w:rPr>
          <w:rFonts w:hint="eastAsia"/>
        </w:rPr>
        <w:t>と</w:t>
      </w:r>
      <w:r>
        <w:t xml:space="preserve">Konrad </w:t>
      </w:r>
      <w:proofErr w:type="spellStart"/>
      <w:r>
        <w:t>Gamper</w:t>
      </w:r>
      <w:proofErr w:type="spellEnd"/>
      <w:r>
        <w:rPr>
          <w:rFonts w:hint="eastAsia"/>
        </w:rPr>
        <w:t>がポーランドの都市</w:t>
      </w:r>
      <w:r>
        <w:t>S</w:t>
      </w:r>
      <w:r>
        <w:rPr>
          <w:rFonts w:hint="eastAsia"/>
        </w:rPr>
        <w:t>ソスノヴィエツで蒸気ボイラー工場を設立した</w:t>
      </w:r>
      <w:r>
        <w:t>1880</w:t>
      </w:r>
      <w:r>
        <w:rPr>
          <w:rFonts w:hint="eastAsia"/>
        </w:rPr>
        <w:t>年にまで遡ります。わずかその</w:t>
      </w:r>
      <w:r>
        <w:t>20</w:t>
      </w:r>
      <w:r>
        <w:rPr>
          <w:rFonts w:hint="eastAsia"/>
        </w:rPr>
        <w:t>年後の</w:t>
      </w:r>
      <w:r>
        <w:t>1900</w:t>
      </w:r>
      <w:r>
        <w:rPr>
          <w:rFonts w:hint="eastAsia"/>
        </w:rPr>
        <w:t>年、このポーランドのボイラーメーカーは、パリ世界展示会で「グランプリ」を獲得するという、世界初の偉業を達成しました。そして</w:t>
      </w:r>
      <w:r>
        <w:t>2009</w:t>
      </w:r>
      <w:r>
        <w:rPr>
          <w:rFonts w:hint="eastAsia"/>
        </w:rPr>
        <w:t>年には、世界最大の流動床ボイラーで</w:t>
      </w:r>
      <w:r>
        <w:t>FAKOP</w:t>
      </w:r>
      <w:r>
        <w:rPr>
          <w:rFonts w:hint="eastAsia"/>
        </w:rPr>
        <w:t>は再び世界から注目を集めるようになりました。ボイラーでの成功、そしてハイテク技術でのリーダーシップを獲得するには、品質が必要とされます。廃棄物焼却プラントで使用される</w:t>
      </w:r>
      <w:r>
        <w:t>12</w:t>
      </w:r>
      <w:r>
        <w:rPr>
          <w:rFonts w:hint="eastAsia"/>
        </w:rPr>
        <w:t>メートル高のフィン付き壁の肉盛溶接では、</w:t>
      </w:r>
      <w:r>
        <w:t>Fronius</w:t>
      </w:r>
      <w:r>
        <w:rPr>
          <w:rFonts w:hint="eastAsia"/>
        </w:rPr>
        <w:t>のソリューションが選ばれました。具体的には、</w:t>
      </w:r>
      <w:r>
        <w:t>2</w:t>
      </w:r>
      <w:r>
        <w:rPr>
          <w:rFonts w:hint="eastAsia"/>
        </w:rPr>
        <w:t>つのエレベータープラットフォームで稼働する溶接オートメーションのタワー高</w:t>
      </w:r>
      <w:r>
        <w:t>CMT</w:t>
      </w:r>
      <w:r>
        <w:rPr>
          <w:rFonts w:hint="eastAsia"/>
        </w:rPr>
        <w:t>肉盛溶接システムです。</w:t>
      </w:r>
    </w:p>
    <w:p w14:paraId="5070D7B7" w14:textId="77777777" w:rsidR="00E44E89" w:rsidRDefault="00E44E89" w:rsidP="00E44E89">
      <w:pPr>
        <w:rPr>
          <w:szCs w:val="20"/>
        </w:rPr>
      </w:pPr>
      <w:r>
        <w:rPr>
          <w:rFonts w:hint="eastAsia"/>
        </w:rPr>
        <w:t>フィン付き壁とは、商用および工業用発電で使用されるパイプとフラットバーで構成された大型ウォーターチューブボイラーの加熱表面です。変化する燃料の傾向、そして非常に困難かつアグレッシブな燃料の燃焼のため、フィン付き壁の腐食保護を強化する開発が求められました。このために使用した保護方法は、肉盛溶接と呼ばれ、フィンチューブ表面を保護する最も効率的な方法です。</w:t>
      </w:r>
      <w:r>
        <w:rPr>
          <w:rFonts w:hint="eastAsia"/>
        </w:rPr>
        <w:t xml:space="preserve"> </w:t>
      </w:r>
    </w:p>
    <w:p w14:paraId="14106FB5" w14:textId="77777777" w:rsidR="00E44E89" w:rsidRDefault="00E44E89" w:rsidP="00E44E89">
      <w:pPr>
        <w:rPr>
          <w:szCs w:val="20"/>
        </w:rPr>
      </w:pPr>
      <w:r>
        <w:rPr>
          <w:rFonts w:hint="eastAsia"/>
          <w:i/>
        </w:rPr>
        <w:t>「フィンチューブの表面を形成するために、当社では</w:t>
      </w:r>
      <w:r>
        <w:rPr>
          <w:i/>
        </w:rPr>
        <w:t>Fronius</w:t>
      </w:r>
      <w:r>
        <w:rPr>
          <w:rFonts w:hint="eastAsia"/>
          <w:i/>
        </w:rPr>
        <w:t>溶接オートメーションの約</w:t>
      </w:r>
      <w:r>
        <w:rPr>
          <w:i/>
        </w:rPr>
        <w:t>15</w:t>
      </w:r>
      <w:r>
        <w:rPr>
          <w:rFonts w:hint="eastAsia"/>
          <w:i/>
        </w:rPr>
        <w:t>メートル高の肉盛溶接タワーを使用しています</w:t>
      </w:r>
      <w:r>
        <w:rPr>
          <w:rFonts w:hint="eastAsia"/>
        </w:rPr>
        <w:t>」と、</w:t>
      </w:r>
      <w:r>
        <w:t>FAKOP</w:t>
      </w:r>
      <w:r>
        <w:rPr>
          <w:rFonts w:hint="eastAsia"/>
        </w:rPr>
        <w:t>のマネージングディレクターを務める</w:t>
      </w:r>
      <w:r>
        <w:t xml:space="preserve">Arkadiusz </w:t>
      </w:r>
      <w:proofErr w:type="spellStart"/>
      <w:r>
        <w:t>Osuch</w:t>
      </w:r>
      <w:proofErr w:type="spellEnd"/>
      <w:r>
        <w:rPr>
          <w:rFonts w:hint="eastAsia"/>
        </w:rPr>
        <w:t>氏は説明します。</w:t>
      </w:r>
      <w:r>
        <w:rPr>
          <w:rFonts w:hint="eastAsia"/>
          <w:i/>
        </w:rPr>
        <w:t>「これは</w:t>
      </w:r>
      <w:r>
        <w:rPr>
          <w:i/>
        </w:rPr>
        <w:t>12</w:t>
      </w:r>
      <w:r>
        <w:rPr>
          <w:rFonts w:hint="eastAsia"/>
          <w:i/>
        </w:rPr>
        <w:t>メートル高、</w:t>
      </w:r>
      <w:r>
        <w:rPr>
          <w:i/>
        </w:rPr>
        <w:t>1.6</w:t>
      </w:r>
      <w:r>
        <w:rPr>
          <w:rFonts w:hint="eastAsia"/>
          <w:i/>
        </w:rPr>
        <w:t>メートル幅のフィン付き壁と格納でき、</w:t>
      </w:r>
      <w:r>
        <w:rPr>
          <w:i/>
        </w:rPr>
        <w:t>2</w:t>
      </w:r>
      <w:r>
        <w:rPr>
          <w:rFonts w:hint="eastAsia"/>
          <w:i/>
        </w:rPr>
        <w:t>つのエレベータープラットフォームで稼働されます。そしてそのそれぞれには革新的な</w:t>
      </w:r>
      <w:r>
        <w:rPr>
          <w:i/>
        </w:rPr>
        <w:t>CMT</w:t>
      </w:r>
      <w:r>
        <w:rPr>
          <w:rFonts w:hint="eastAsia"/>
          <w:i/>
        </w:rPr>
        <w:t>溶接技術が搭載されています。」</w:t>
      </w:r>
      <w:r>
        <w:rPr>
          <w:rFonts w:hint="eastAsia"/>
        </w:rPr>
        <w:t xml:space="preserve"> </w:t>
      </w:r>
    </w:p>
    <w:p w14:paraId="559A3FA1" w14:textId="77777777" w:rsidR="00E44E89" w:rsidRDefault="00E44E89" w:rsidP="00E44E89">
      <w:pPr>
        <w:rPr>
          <w:szCs w:val="20"/>
          <w:u w:val="single"/>
        </w:rPr>
      </w:pPr>
      <w:r>
        <w:rPr>
          <w:rFonts w:hint="eastAsia"/>
          <w:u w:val="single"/>
        </w:rPr>
        <w:t>溶接メタルの鉄を</w:t>
      </w:r>
      <w:r>
        <w:rPr>
          <w:u w:val="single"/>
        </w:rPr>
        <w:t>3%</w:t>
      </w:r>
      <w:r>
        <w:rPr>
          <w:rFonts w:hint="eastAsia"/>
          <w:u w:val="single"/>
        </w:rPr>
        <w:t>未満に希釈</w:t>
      </w:r>
    </w:p>
    <w:p w14:paraId="1987EB44" w14:textId="77777777" w:rsidR="00E44E89" w:rsidRDefault="00E44E89" w:rsidP="00E44E89">
      <w:r>
        <w:rPr>
          <w:rFonts w:hint="eastAsia"/>
        </w:rPr>
        <w:t>肉盛溶接のプロセスには、多くの課題が伴います。混合の度合は腐食保護の効果の決定的な要因となります。これは、母材と堆積する合金の混合を意味します。この目的は、混合比を可能な限り低くしつつ、母材と保護層の良好な融合を確保することです。混合比が低いと、機器の使用期間が長くなります。</w:t>
      </w:r>
      <w:r>
        <w:rPr>
          <w:rFonts w:hint="eastAsia"/>
        </w:rPr>
        <w:t xml:space="preserve"> </w:t>
      </w:r>
    </w:p>
    <w:p w14:paraId="0E595923" w14:textId="77777777" w:rsidR="00E44E89" w:rsidRDefault="00E44E89" w:rsidP="00E44E89">
      <w:pPr>
        <w:rPr>
          <w:szCs w:val="20"/>
        </w:rPr>
      </w:pPr>
      <w:r>
        <w:rPr>
          <w:rFonts w:hint="eastAsia"/>
        </w:rPr>
        <w:t>シニア溶接エキスパートの</w:t>
      </w:r>
      <w:proofErr w:type="spellStart"/>
      <w:r>
        <w:t>Jaroslaw</w:t>
      </w:r>
      <w:proofErr w:type="spellEnd"/>
      <w:r>
        <w:t xml:space="preserve"> </w:t>
      </w:r>
      <w:proofErr w:type="spellStart"/>
      <w:r>
        <w:t>Olej</w:t>
      </w:r>
      <w:proofErr w:type="spellEnd"/>
      <w:r>
        <w:rPr>
          <w:rFonts w:hint="eastAsia"/>
        </w:rPr>
        <w:t>氏は、</w:t>
      </w:r>
      <w:r>
        <w:rPr>
          <w:rFonts w:hint="eastAsia"/>
          <w:i/>
        </w:rPr>
        <w:t>「混合比は現在通常</w:t>
      </w:r>
      <w:r>
        <w:rPr>
          <w:i/>
        </w:rPr>
        <w:t>3%</w:t>
      </w:r>
      <w:r>
        <w:rPr>
          <w:rFonts w:hint="eastAsia"/>
          <w:i/>
        </w:rPr>
        <w:t>未満です」</w:t>
      </w:r>
      <w:r>
        <w:rPr>
          <w:rFonts w:hint="eastAsia"/>
        </w:rPr>
        <w:t>と確認します。</w:t>
      </w:r>
      <w:r>
        <w:rPr>
          <w:rFonts w:hint="eastAsia"/>
        </w:rPr>
        <w:t xml:space="preserve"> </w:t>
      </w:r>
    </w:p>
    <w:p w14:paraId="14BD477E" w14:textId="77777777" w:rsidR="00E44E89" w:rsidRDefault="00E44E89" w:rsidP="00E44E89">
      <w:pPr>
        <w:rPr>
          <w:szCs w:val="20"/>
        </w:rPr>
      </w:pPr>
      <w:r>
        <w:t>FAKOP</w:t>
      </w:r>
      <w:r>
        <w:rPr>
          <w:rFonts w:hint="eastAsia"/>
        </w:rPr>
        <w:t>の経営陣が機械式</w:t>
      </w:r>
      <w:r>
        <w:t>CMT</w:t>
      </w:r>
      <w:r>
        <w:rPr>
          <w:rFonts w:hint="eastAsia"/>
        </w:rPr>
        <w:t>溶接システムの購入を決断する前、フィン付き壁の表面には他の技術が使用されていました。</w:t>
      </w:r>
      <w:r>
        <w:rPr>
          <w:rFonts w:hint="eastAsia"/>
        </w:rPr>
        <w:t xml:space="preserve"> </w:t>
      </w:r>
    </w:p>
    <w:p w14:paraId="3C6C73F5" w14:textId="77777777" w:rsidR="00E44E89" w:rsidRDefault="00E44E89" w:rsidP="00E44E89">
      <w:pPr>
        <w:rPr>
          <w:szCs w:val="20"/>
        </w:rPr>
      </w:pPr>
      <w:r>
        <w:rPr>
          <w:rFonts w:hint="eastAsia"/>
        </w:rPr>
        <w:lastRenderedPageBreak/>
        <w:t>顧客からの品質に対する高い要求を満たすため、</w:t>
      </w:r>
      <w:r>
        <w:t>FAKOP</w:t>
      </w:r>
      <w:r>
        <w:rPr>
          <w:rFonts w:hint="eastAsia"/>
        </w:rPr>
        <w:t>の溶接技術生産エンジニアたちは、フィン付き壁の前処理段階で、あらゆる細部に注意を払いました。この表面の前処理が完了すると、フィン付き壁は肉盛溶接に移行し、これは塵および錆のない条件で実施されます。</w:t>
      </w:r>
    </w:p>
    <w:p w14:paraId="27A946E9" w14:textId="77777777" w:rsidR="00E44E89" w:rsidRDefault="00E44E89" w:rsidP="00E44E89">
      <w:pPr>
        <w:rPr>
          <w:szCs w:val="20"/>
          <w:u w:val="single"/>
        </w:rPr>
      </w:pPr>
      <w:r>
        <w:rPr>
          <w:rFonts w:hint="eastAsia"/>
          <w:u w:val="single"/>
        </w:rPr>
        <w:t>溶接プロセスが非常に重要な理由</w:t>
      </w:r>
    </w:p>
    <w:p w14:paraId="2412285F" w14:textId="77777777" w:rsidR="00E44E89" w:rsidRDefault="00E44E89" w:rsidP="00E44E89">
      <w:pPr>
        <w:rPr>
          <w:szCs w:val="20"/>
        </w:rPr>
      </w:pPr>
      <w:r>
        <w:t>Fronius</w:t>
      </w:r>
      <w:r>
        <w:rPr>
          <w:rFonts w:hint="eastAsia"/>
        </w:rPr>
        <w:t>の溶接タワーを選ぶときの主な要因は、</w:t>
      </w:r>
      <w:r>
        <w:t>CMT</w:t>
      </w:r>
      <w:r>
        <w:rPr>
          <w:rFonts w:hint="eastAsia"/>
        </w:rPr>
        <w:t>技術の使用でした。そのメリットはデジタルプロセス制御にあり、独立して短絡を検出し、ワイヤーの引き戻しにより液滴分離をサポートします。これにより前後動作が生まれ、アーク相を短く維持し、入熱を低くすることができます。この効果は物質移動であり、スパッタフリーの肉盛溶接が可能となり、特に滑らな表面、ソフトなシームのオーバーラップ、そして一定した層厚が実現されます。</w:t>
      </w:r>
    </w:p>
    <w:p w14:paraId="67A3822D" w14:textId="77777777" w:rsidR="00E44E89" w:rsidRDefault="00E44E89" w:rsidP="00E44E89">
      <w:pPr>
        <w:rPr>
          <w:szCs w:val="20"/>
        </w:rPr>
      </w:pPr>
      <w:r>
        <w:rPr>
          <w:rFonts w:hint="eastAsia"/>
        </w:rPr>
        <w:t>「</w:t>
      </w:r>
      <w:r>
        <w:rPr>
          <w:rFonts w:hint="eastAsia"/>
          <w:i/>
        </w:rPr>
        <w:t>現在、当社の多くのお客様は</w:t>
      </w:r>
      <w:r>
        <w:rPr>
          <w:i/>
        </w:rPr>
        <w:t>CMT</w:t>
      </w:r>
      <w:r>
        <w:rPr>
          <w:rFonts w:hint="eastAsia"/>
          <w:i/>
        </w:rPr>
        <w:t>プロセスを必要としています」と</w:t>
      </w:r>
      <w:proofErr w:type="spellStart"/>
      <w:r>
        <w:rPr>
          <w:i/>
        </w:rPr>
        <w:t>Olej</w:t>
      </w:r>
      <w:proofErr w:type="spellEnd"/>
      <w:r>
        <w:rPr>
          <w:rFonts w:hint="eastAsia"/>
          <w:i/>
        </w:rPr>
        <w:t>氏は語ります。また、「それ自体が標準として確立されており、それを適切に使用できる者が市場でチャンスを掴むことができると言っても差支えはないでしょう</w:t>
      </w:r>
      <w:r>
        <w:rPr>
          <w:rFonts w:hint="eastAsia"/>
        </w:rPr>
        <w:t>」と追加します。</w:t>
      </w:r>
      <w:r>
        <w:rPr>
          <w:rFonts w:hint="eastAsia"/>
        </w:rPr>
        <w:t xml:space="preserve"> </w:t>
      </w:r>
    </w:p>
    <w:p w14:paraId="06C5E4FF" w14:textId="77777777" w:rsidR="00E44E89" w:rsidRDefault="00E44E89" w:rsidP="00E44E89">
      <w:pPr>
        <w:rPr>
          <w:szCs w:val="20"/>
          <w:u w:val="single"/>
        </w:rPr>
      </w:pPr>
      <w:r>
        <w:rPr>
          <w:rFonts w:hint="eastAsia"/>
          <w:u w:val="single"/>
        </w:rPr>
        <w:t>専門性に基づいた成果</w:t>
      </w:r>
    </w:p>
    <w:p w14:paraId="70EECCA5" w14:textId="77777777" w:rsidR="00E44E89" w:rsidRDefault="00E44E89" w:rsidP="00E44E89">
      <w:pPr>
        <w:rPr>
          <w:szCs w:val="20"/>
        </w:rPr>
      </w:pPr>
      <w:r>
        <w:rPr>
          <w:rFonts w:hint="eastAsia"/>
        </w:rPr>
        <w:t>溶接の専門知識と経験は必須です。例えば、アーク安定性および関連する多孔質傾向は、最適で一定のワイヤ供給速度に大きく依存します。</w:t>
      </w:r>
      <w:r>
        <w:rPr>
          <w:rFonts w:hint="eastAsia"/>
        </w:rPr>
        <w:t xml:space="preserve"> </w:t>
      </w:r>
    </w:p>
    <w:p w14:paraId="142DD71F" w14:textId="77777777" w:rsidR="00E44E89" w:rsidRDefault="00E44E89" w:rsidP="00E44E89">
      <w:pPr>
        <w:rPr>
          <w:szCs w:val="20"/>
        </w:rPr>
      </w:pPr>
      <w:r>
        <w:rPr>
          <w:rFonts w:hint="eastAsia"/>
        </w:rPr>
        <w:t>「インナーライナーから溶接トーチまで、当社は約</w:t>
      </w:r>
      <w:r>
        <w:t>15</w:t>
      </w:r>
      <w:r>
        <w:rPr>
          <w:rFonts w:hint="eastAsia"/>
        </w:rPr>
        <w:t>メートルという膨大なワイヤー長を扱っています。そのため、完全に安定した速度を維持することは困難です。信頼できるワイヤ送給装置、一連の試験、十分な専門知識が必要となります」と、技術開発エキスパートである</w:t>
      </w:r>
      <w:r>
        <w:t xml:space="preserve">Piotr </w:t>
      </w:r>
      <w:proofErr w:type="spellStart"/>
      <w:r>
        <w:t>Ogórek</w:t>
      </w:r>
      <w:proofErr w:type="spellEnd"/>
      <w:r>
        <w:rPr>
          <w:rFonts w:hint="eastAsia"/>
        </w:rPr>
        <w:t>氏は、メンブレン壁の設置に関する専門知識の重要性について語ります。「さらに、溶接トーチの理想的な配置も重要です。これは、トーチ角度の設定が誤っているとスパッタが発生するからです」と、</w:t>
      </w:r>
      <w:proofErr w:type="spellStart"/>
      <w:r>
        <w:t>Ogórek</w:t>
      </w:r>
      <w:proofErr w:type="spellEnd"/>
      <w:r>
        <w:rPr>
          <w:rFonts w:hint="eastAsia"/>
        </w:rPr>
        <w:t>氏は加えます。</w:t>
      </w:r>
    </w:p>
    <w:p w14:paraId="3DA2796F" w14:textId="77777777" w:rsidR="00E44E89" w:rsidRDefault="00E44E89" w:rsidP="00E44E89">
      <w:pPr>
        <w:rPr>
          <w:szCs w:val="20"/>
        </w:rPr>
      </w:pPr>
      <w:r>
        <w:rPr>
          <w:rFonts w:hint="eastAsia"/>
        </w:rPr>
        <w:t>突き出しと関連するアーク長も品質における決定要因となります。これは、一定したワイヤ供給速度と合わさることで、気孔の削減に寄与します。</w:t>
      </w:r>
      <w:r>
        <w:t>Fronius</w:t>
      </w:r>
      <w:r>
        <w:rPr>
          <w:rFonts w:hint="eastAsia"/>
        </w:rPr>
        <w:t>のサポートにより、</w:t>
      </w:r>
      <w:r>
        <w:t>FAKOP</w:t>
      </w:r>
      <w:r>
        <w:rPr>
          <w:rFonts w:hint="eastAsia"/>
        </w:rPr>
        <w:t>の専門スタッフは、同社の</w:t>
      </w:r>
      <w:r>
        <w:t>TPS/</w:t>
      </w:r>
      <w:proofErr w:type="spellStart"/>
      <w:r>
        <w:t>i</w:t>
      </w:r>
      <w:proofErr w:type="spellEnd"/>
      <w:r>
        <w:t xml:space="preserve"> CMT</w:t>
      </w:r>
      <w:r>
        <w:rPr>
          <w:rFonts w:hint="eastAsia"/>
        </w:rPr>
        <w:t>エネルギー源の特性を使用し、突き出しを調整することによって、気孔を形成せずに最適なアプリケーション結果を達成することができました。</w:t>
      </w:r>
      <w:r>
        <w:rPr>
          <w:rFonts w:hint="eastAsia"/>
        </w:rPr>
        <w:t xml:space="preserve"> </w:t>
      </w:r>
    </w:p>
    <w:p w14:paraId="1D196181" w14:textId="77777777" w:rsidR="00E44E89" w:rsidRDefault="00E44E89" w:rsidP="00E44E89">
      <w:pPr>
        <w:rPr>
          <w:szCs w:val="20"/>
          <w:u w:val="single"/>
        </w:rPr>
      </w:pPr>
      <w:r>
        <w:rPr>
          <w:rFonts w:hint="eastAsia"/>
          <w:u w:val="single"/>
        </w:rPr>
        <w:t>使いやすさが際立つハイテク溶接タワー</w:t>
      </w:r>
    </w:p>
    <w:p w14:paraId="71BE64F5" w14:textId="77777777" w:rsidR="00E44E89" w:rsidRDefault="00E44E89" w:rsidP="00E44E89">
      <w:pPr>
        <w:rPr>
          <w:szCs w:val="20"/>
        </w:rPr>
      </w:pPr>
      <w:r>
        <w:rPr>
          <w:rFonts w:hint="eastAsia"/>
        </w:rPr>
        <w:t>溶接は垂直下進位置</w:t>
      </w:r>
      <w:r>
        <w:t xml:space="preserve"> (PG) </w:t>
      </w:r>
      <w:r>
        <w:rPr>
          <w:rFonts w:hint="eastAsia"/>
        </w:rPr>
        <w:t>で上から下に水平振動により実施されます。エレベータープラットフォームにはどちらも</w:t>
      </w:r>
      <w:r>
        <w:t>CMT</w:t>
      </w:r>
      <w:r>
        <w:rPr>
          <w:rFonts w:hint="eastAsia"/>
        </w:rPr>
        <w:t>溶接技術が搭載され、タッチスクリーン、モニターを含む</w:t>
      </w:r>
      <w:r>
        <w:t>ArcView</w:t>
      </w:r>
      <w:r>
        <w:rPr>
          <w:rFonts w:hint="eastAsia"/>
        </w:rPr>
        <w:t>カメラ、</w:t>
      </w:r>
      <w:r>
        <w:t>2</w:t>
      </w:r>
      <w:r>
        <w:rPr>
          <w:rFonts w:hint="eastAsia"/>
        </w:rPr>
        <w:t>台の</w:t>
      </w:r>
      <w:r>
        <w:t>CMT</w:t>
      </w:r>
      <w:r>
        <w:rPr>
          <w:rFonts w:hint="eastAsia"/>
        </w:rPr>
        <w:t>溶接トーチ、微調整用のジョイスティックが付いた直感的な</w:t>
      </w:r>
      <w:r>
        <w:t>HMI</w:t>
      </w:r>
      <w:r>
        <w:rPr>
          <w:rFonts w:hint="eastAsia"/>
        </w:rPr>
        <w:t>システム制御があります。</w:t>
      </w:r>
    </w:p>
    <w:p w14:paraId="3033F5B4" w14:textId="77777777" w:rsidR="00E44E89" w:rsidRDefault="00E44E89" w:rsidP="00E44E89">
      <w:pPr>
        <w:rPr>
          <w:szCs w:val="20"/>
        </w:rPr>
      </w:pPr>
      <w:r>
        <w:rPr>
          <w:rFonts w:hint="eastAsia"/>
        </w:rPr>
        <w:t>すべての溶接トーチは水冷式であるため、溶接トーチの温度が希釈率に大きな影響を及ぼします。制限値が</w:t>
      </w:r>
      <w:r>
        <w:t>3%</w:t>
      </w:r>
      <w:r>
        <w:rPr>
          <w:rFonts w:hint="eastAsia"/>
        </w:rPr>
        <w:t>を決して超過しないようにするため、熱過ぎまたは冷た過ぎないようにし、冷却システムによる正確な調整が必要です。</w:t>
      </w:r>
      <w:r>
        <w:rPr>
          <w:rFonts w:hint="eastAsia"/>
        </w:rPr>
        <w:t xml:space="preserve"> </w:t>
      </w:r>
    </w:p>
    <w:p w14:paraId="5465C70B" w14:textId="77777777" w:rsidR="00E44E89" w:rsidRDefault="00E44E89" w:rsidP="00E44E89">
      <w:pPr>
        <w:rPr>
          <w:szCs w:val="20"/>
        </w:rPr>
      </w:pPr>
      <w:r>
        <w:rPr>
          <w:rFonts w:hint="eastAsia"/>
        </w:rPr>
        <w:lastRenderedPageBreak/>
        <w:t>システム最適化で述べておく必要があることの</w:t>
      </w:r>
      <w:r>
        <w:t>1</w:t>
      </w:r>
      <w:r>
        <w:rPr>
          <w:rFonts w:hint="eastAsia"/>
        </w:rPr>
        <w:t>つは、溶接トーチ位置の新しい微調整です。これは、現在ジョイスティックを使って行うことができ、便利になりました。以前は、手動でスライドレーリを使ってトーチを位置に移動させる必要がありました。そのため、微調整はほぼ不可能であり、非常に高い手先の技術が求められました。</w:t>
      </w:r>
      <w:r>
        <w:t>ArcView</w:t>
      </w:r>
      <w:r>
        <w:rPr>
          <w:rFonts w:hint="eastAsia"/>
        </w:rPr>
        <w:t>カメラとジョイスティックを使うと、微調整を迅速、簡単、そしてミリメートル単位で実施することができます。</w:t>
      </w:r>
      <w:r>
        <w:rPr>
          <w:rFonts w:hint="eastAsia"/>
        </w:rPr>
        <w:t xml:space="preserve"> </w:t>
      </w:r>
    </w:p>
    <w:p w14:paraId="5F91C3DD" w14:textId="77777777" w:rsidR="00E44E89" w:rsidRDefault="00E44E89" w:rsidP="00E44E89">
      <w:pPr>
        <w:rPr>
          <w:szCs w:val="20"/>
        </w:rPr>
      </w:pPr>
      <w:r>
        <w:rPr>
          <w:rFonts w:hint="eastAsia"/>
        </w:rPr>
        <w:t>各溶接トーチのフューム抽出器、そして両方のエレベータープラットフォームを密封し、システムの全長を拡張し、さらに</w:t>
      </w:r>
      <w:r>
        <w:t>UV</w:t>
      </w:r>
      <w:r>
        <w:rPr>
          <w:rFonts w:hint="eastAsia"/>
        </w:rPr>
        <w:t>放射から溶接オペレーターを保護するダークレッドの保護カーテンがユーザーの安全性を確保します。</w:t>
      </w:r>
      <w:r>
        <w:rPr>
          <w:rFonts w:hint="eastAsia"/>
        </w:rPr>
        <w:t xml:space="preserve"> </w:t>
      </w:r>
    </w:p>
    <w:p w14:paraId="7613F170" w14:textId="77777777" w:rsidR="00E44E89" w:rsidRDefault="00E44E89" w:rsidP="00E44E89">
      <w:pPr>
        <w:rPr>
          <w:szCs w:val="20"/>
        </w:rPr>
      </w:pPr>
      <w:r>
        <w:rPr>
          <w:rFonts w:hint="eastAsia"/>
        </w:rPr>
        <w:t>「</w:t>
      </w:r>
      <w:r>
        <w:t>Fronius</w:t>
      </w:r>
      <w:r>
        <w:rPr>
          <w:rFonts w:hint="eastAsia"/>
        </w:rPr>
        <w:t>システムのもう</w:t>
      </w:r>
      <w:r>
        <w:t>1</w:t>
      </w:r>
      <w:r>
        <w:rPr>
          <w:rFonts w:hint="eastAsia"/>
        </w:rPr>
        <w:t>つの重要な特徴は、</w:t>
      </w:r>
      <w:proofErr w:type="spellStart"/>
      <w:r>
        <w:t>WeldCube</w:t>
      </w:r>
      <w:proofErr w:type="spellEnd"/>
      <w:r>
        <w:rPr>
          <w:rFonts w:hint="eastAsia"/>
        </w:rPr>
        <w:t>溶接データ管理ソフトウェアです」と、氏は締めくくります。「</w:t>
      </w:r>
      <w:proofErr w:type="spellStart"/>
      <w:r>
        <w:t>WeldCube</w:t>
      </w:r>
      <w:proofErr w:type="spellEnd"/>
      <w:r>
        <w:rPr>
          <w:rFonts w:hint="eastAsia"/>
        </w:rPr>
        <w:t>は、肉盛溶接プロセス中のすべてのプロセスデータを記録し、捕捉した情報はプロセス管理に役立ちます。当社は、</w:t>
      </w:r>
      <w:r>
        <w:t>Fronius</w:t>
      </w:r>
      <w:r>
        <w:rPr>
          <w:rFonts w:hint="eastAsia"/>
        </w:rPr>
        <w:t>の肉盛溶接装置に非常に満足しており、もう</w:t>
      </w:r>
      <w:r>
        <w:t>1</w:t>
      </w:r>
      <w:r>
        <w:rPr>
          <w:rFonts w:hint="eastAsia"/>
        </w:rPr>
        <w:t>台購入することを決めました」</w:t>
      </w:r>
    </w:p>
    <w:p w14:paraId="76225510" w14:textId="77777777" w:rsidR="00E44E89" w:rsidRDefault="00E44E89" w:rsidP="00E44E89">
      <w:pPr>
        <w:rPr>
          <w:szCs w:val="20"/>
          <w:u w:val="single"/>
        </w:rPr>
      </w:pPr>
      <w:r>
        <w:rPr>
          <w:rFonts w:hint="eastAsia"/>
          <w:u w:val="single"/>
        </w:rPr>
        <w:t>環境に対するさらなるメリット</w:t>
      </w:r>
    </w:p>
    <w:p w14:paraId="33745B31" w14:textId="7C019C3F" w:rsidR="001C1B16" w:rsidRDefault="00E44E89" w:rsidP="00E44E89">
      <w:r>
        <w:t>FAKOP</w:t>
      </w:r>
      <w:r>
        <w:rPr>
          <w:rFonts w:hint="eastAsia"/>
        </w:rPr>
        <w:t>は、高品質なフィン付き壁とウォーターチューブボイラーを生産しているだけではなく、その製品により、廃棄物焼却炉の持続可能な廃棄物管理に大きく貢献しています。</w:t>
      </w:r>
      <w:r>
        <w:t xml:space="preserve">ISWA (International Solid Waste </w:t>
      </w:r>
      <w:proofErr w:type="gramStart"/>
      <w:r>
        <w:t>Association)</w:t>
      </w:r>
      <w:r>
        <w:rPr>
          <w:rFonts w:hint="eastAsia"/>
        </w:rPr>
        <w:t>によると</w:t>
      </w:r>
      <w:proofErr w:type="gramEnd"/>
      <w:r>
        <w:rPr>
          <w:rFonts w:hint="eastAsia"/>
        </w:rPr>
        <w:t>、約</w:t>
      </w:r>
      <w:r>
        <w:t>70</w:t>
      </w:r>
      <w:r>
        <w:rPr>
          <w:rFonts w:hint="eastAsia"/>
        </w:rPr>
        <w:t>～</w:t>
      </w:r>
      <w:r>
        <w:t>100</w:t>
      </w:r>
      <w:r>
        <w:rPr>
          <w:rFonts w:hint="eastAsia"/>
        </w:rPr>
        <w:t>億トンの都市廃棄物が毎年世界中で発生しています。この大部分は埋立地へと運ばれ、メタンガスの発生につながっています。メタンガスは、温室効果ガスとして二酸化炭素の</w:t>
      </w:r>
      <w:r>
        <w:t>20</w:t>
      </w:r>
      <w:r>
        <w:rPr>
          <w:rFonts w:hint="eastAsia"/>
        </w:rPr>
        <w:t>倍以上の有害性があります。廃棄物をエネルギーに変えるプラントは、埋立地に対する効果的な代替法であり、温室効果ガスの削減につながるだけではなく、電力およびシステム熱を生成し、循環経済を支援します。</w:t>
      </w:r>
    </w:p>
    <w:p w14:paraId="3A699623" w14:textId="77777777" w:rsidR="00E44E89" w:rsidRPr="00F03BD0" w:rsidRDefault="00E44E89" w:rsidP="00E44E89">
      <w:pPr>
        <w:pStyle w:val="StandardWeb"/>
        <w:spacing w:after="0"/>
        <w:rPr>
          <w:rFonts w:cs="Arial"/>
          <w:sz w:val="20"/>
          <w:szCs w:val="20"/>
          <w:lang w:val="en-US"/>
        </w:rPr>
      </w:pPr>
      <w:proofErr w:type="spellStart"/>
      <w:r w:rsidRPr="00F03BD0">
        <w:rPr>
          <w:rFonts w:ascii="MS Gothic" w:eastAsia="MS Gothic" w:hAnsi="MS Gothic" w:cs="MS Gothic" w:hint="eastAsia"/>
          <w:sz w:val="20"/>
          <w:szCs w:val="20"/>
        </w:rPr>
        <w:t>高画質の画像は以下のリンクからダウンロードできます</w:t>
      </w:r>
      <w:proofErr w:type="spellEnd"/>
      <w:r w:rsidRPr="00F03BD0">
        <w:rPr>
          <w:rFonts w:ascii="MS Gothic" w:eastAsia="MS Gothic" w:hAnsi="MS Gothic" w:cs="MS Gothic" w:hint="eastAsia"/>
          <w:sz w:val="20"/>
          <w:szCs w:val="20"/>
        </w:rPr>
        <w:t>。</w:t>
      </w:r>
    </w:p>
    <w:p w14:paraId="7FB19594" w14:textId="77777777" w:rsidR="00E44E89" w:rsidRDefault="00E44E89" w:rsidP="00E44E89">
      <w:pPr>
        <w:pStyle w:val="StandardWeb"/>
        <w:spacing w:before="0" w:beforeAutospacing="0" w:after="0" w:afterAutospacing="0"/>
        <w:rPr>
          <w:rStyle w:val="Hyperlink"/>
          <w:rFonts w:ascii="Noto Sans" w:hAnsi="Noto Sans" w:cs="Noto Sans"/>
          <w:sz w:val="20"/>
          <w:szCs w:val="20"/>
          <w:lang w:val="en-US"/>
        </w:rPr>
      </w:pPr>
      <w:hyperlink r:id="rId8" w:history="1">
        <w:r w:rsidRPr="008B46F0">
          <w:rPr>
            <w:rStyle w:val="Hyperlink"/>
            <w:rFonts w:ascii="Noto Sans" w:hAnsi="Noto Sans" w:cs="Noto Sans"/>
            <w:sz w:val="20"/>
            <w:szCs w:val="20"/>
            <w:lang w:val="en-US"/>
          </w:rPr>
          <w:t>https://www.fronius.com/ja-jp/japan/perfect-welding</w:t>
        </w:r>
      </w:hyperlink>
    </w:p>
    <w:p w14:paraId="5AC438F0" w14:textId="77777777" w:rsidR="00E44E89" w:rsidRDefault="00E44E89" w:rsidP="00E44E89">
      <w:pPr>
        <w:pStyle w:val="StandardWeb"/>
        <w:spacing w:before="0" w:beforeAutospacing="0" w:after="0" w:afterAutospacing="0"/>
        <w:rPr>
          <w:rStyle w:val="Hyperlink"/>
          <w:rFonts w:ascii="Noto Sans" w:hAnsi="Noto Sans" w:cs="Noto Sans"/>
          <w:sz w:val="20"/>
          <w:szCs w:val="20"/>
          <w:lang w:val="en-US"/>
        </w:rPr>
      </w:pPr>
    </w:p>
    <w:p w14:paraId="34C937DD" w14:textId="77777777" w:rsidR="00E44E89" w:rsidRPr="002252AA" w:rsidRDefault="00E44E89" w:rsidP="00E44E89">
      <w:pPr>
        <w:rPr>
          <w:rFonts w:cs="Arial"/>
          <w:szCs w:val="20"/>
        </w:rPr>
      </w:pPr>
      <w:r w:rsidRPr="00ED2E38">
        <w:rPr>
          <w:rFonts w:ascii="MS Mincho" w:hAnsi="MS Mincho" w:cs="MS Mincho"/>
          <w:szCs w:val="20"/>
        </w:rPr>
        <w:t>写真の著作権: Fronius International GmbH、複製無料</w:t>
      </w:r>
    </w:p>
    <w:p w14:paraId="2670E99C" w14:textId="77777777" w:rsidR="00E44E89" w:rsidRPr="006E29F8" w:rsidRDefault="00E44E89" w:rsidP="00E44E89">
      <w:pPr>
        <w:pStyle w:val="StandardWeb"/>
        <w:spacing w:before="0" w:beforeAutospacing="0" w:after="0" w:afterAutospacing="0"/>
        <w:rPr>
          <w:rFonts w:ascii="Noto Sans" w:hAnsi="Noto Sans" w:cs="Noto Sans"/>
          <w:sz w:val="20"/>
          <w:szCs w:val="20"/>
          <w:lang w:val="pt-BR"/>
        </w:rPr>
      </w:pPr>
    </w:p>
    <w:p w14:paraId="54BED4B8" w14:textId="535AF024" w:rsidR="00E44E89" w:rsidRDefault="00E44E89" w:rsidP="00E44E89">
      <w:pPr>
        <w:rPr>
          <w:rFonts w:ascii="MS Gothic" w:eastAsia="MS Gothic" w:hAnsi="MS Gothic" w:cs="MS Gothic"/>
          <w:szCs w:val="20"/>
          <w:lang w:val="pt-BR" w:eastAsia="de-AT"/>
        </w:rPr>
      </w:pPr>
      <w:r>
        <w:rPr>
          <w:rFonts w:cs="Noto Sans"/>
          <w:i/>
          <w:szCs w:val="20"/>
          <w:lang w:val="pt-BR"/>
        </w:rPr>
        <w:t>3140</w:t>
      </w:r>
      <w:r w:rsidRPr="00F03BD0">
        <w:rPr>
          <w:rFonts w:cs="Noto Sans"/>
          <w:i/>
          <w:szCs w:val="20"/>
          <w:lang w:val="pt-BR"/>
        </w:rPr>
        <w:t xml:space="preserve"> </w:t>
      </w:r>
      <w:proofErr w:type="spellStart"/>
      <w:r w:rsidRPr="00F03BD0">
        <w:rPr>
          <w:rFonts w:ascii="MS Gothic" w:eastAsia="MS Gothic" w:hAnsi="MS Gothic" w:cs="MS Gothic" w:hint="eastAsia"/>
          <w:szCs w:val="20"/>
          <w:lang w:eastAsia="de-AT"/>
        </w:rPr>
        <w:t>文字</w:t>
      </w:r>
      <w:r w:rsidRPr="008B46F0">
        <w:rPr>
          <w:rFonts w:ascii="MS Gothic" w:eastAsia="MS Gothic" w:hAnsi="MS Gothic" w:cs="MS Gothic" w:hint="eastAsia"/>
          <w:szCs w:val="20"/>
          <w:lang w:val="pt-BR" w:eastAsia="de-AT"/>
        </w:rPr>
        <w:t>（</w:t>
      </w:r>
      <w:r w:rsidRPr="00F03BD0">
        <w:rPr>
          <w:rFonts w:ascii="MS Gothic" w:eastAsia="MS Gothic" w:hAnsi="MS Gothic" w:cs="MS Gothic" w:hint="eastAsia"/>
          <w:szCs w:val="20"/>
          <w:lang w:eastAsia="de-AT"/>
        </w:rPr>
        <w:t>スペース含む</w:t>
      </w:r>
      <w:proofErr w:type="spellEnd"/>
      <w:r w:rsidRPr="008B46F0">
        <w:rPr>
          <w:rFonts w:ascii="MS Gothic" w:eastAsia="MS Gothic" w:hAnsi="MS Gothic" w:cs="MS Gothic" w:hint="eastAsia"/>
          <w:szCs w:val="20"/>
          <w:lang w:val="pt-BR" w:eastAsia="de-AT"/>
        </w:rPr>
        <w:t>）</w:t>
      </w:r>
    </w:p>
    <w:p w14:paraId="62BB76B5" w14:textId="4CC5F198" w:rsidR="00E44E89" w:rsidRDefault="00E44E89" w:rsidP="00E44E89">
      <w:pPr>
        <w:rPr>
          <w:rFonts w:ascii="MS Gothic" w:eastAsia="MS Gothic" w:hAnsi="MS Gothic" w:cs="MS Gothic"/>
          <w:szCs w:val="20"/>
          <w:lang w:val="pt-BR" w:eastAsia="de-AT"/>
        </w:rPr>
      </w:pPr>
    </w:p>
    <w:p w14:paraId="60D22703" w14:textId="77777777" w:rsidR="00E44E89" w:rsidRPr="001C1B16" w:rsidRDefault="00E44E89" w:rsidP="00E44E89">
      <w:pPr>
        <w:rPr>
          <w:rFonts w:cs="Noto Sans"/>
          <w:i/>
          <w:szCs w:val="20"/>
          <w:lang w:val="pt-BR"/>
        </w:rPr>
      </w:pPr>
    </w:p>
    <w:p w14:paraId="64D42A59" w14:textId="77777777" w:rsidR="00E44E89" w:rsidRDefault="00E44E89" w:rsidP="00E44E89">
      <w:pPr>
        <w:rPr>
          <w:rFonts w:hint="eastAsia"/>
        </w:rPr>
      </w:pPr>
    </w:p>
    <w:p w14:paraId="6F1F588D" w14:textId="77777777" w:rsidR="00E44E89" w:rsidRDefault="00E44E89" w:rsidP="00E44E89">
      <w:pPr>
        <w:pStyle w:val="berschrift4"/>
        <w:jc w:val="both"/>
        <w:rPr>
          <w:szCs w:val="20"/>
        </w:rPr>
      </w:pPr>
      <w:r>
        <w:rPr>
          <w:rFonts w:hint="eastAsia"/>
        </w:rPr>
        <w:lastRenderedPageBreak/>
        <w:t>画像</w:t>
      </w:r>
    </w:p>
    <w:p w14:paraId="20951DD9" w14:textId="77777777" w:rsidR="00E44E89" w:rsidRDefault="00E44E89" w:rsidP="00E44E89">
      <w:pPr>
        <w:rPr>
          <w:sz w:val="22"/>
        </w:rPr>
      </w:pPr>
      <w:r>
        <w:br/>
      </w:r>
      <w:r>
        <w:rPr>
          <w:noProof/>
          <w:lang w:eastAsia="zh-CN"/>
        </w:rPr>
        <w:drawing>
          <wp:inline distT="0" distB="0" distL="0" distR="0" wp14:anchorId="722F84F1" wp14:editId="240BF402">
            <wp:extent cx="2200275" cy="1466850"/>
            <wp:effectExtent l="0" t="0" r="9525"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00275" cy="1466850"/>
                    </a:xfrm>
                    <a:prstGeom prst="rect">
                      <a:avLst/>
                    </a:prstGeom>
                    <a:noFill/>
                    <a:ln>
                      <a:noFill/>
                    </a:ln>
                  </pic:spPr>
                </pic:pic>
              </a:graphicData>
            </a:graphic>
          </wp:inline>
        </w:drawing>
      </w:r>
    </w:p>
    <w:p w14:paraId="13A6D4CB" w14:textId="77777777" w:rsidR="00E44E89" w:rsidRPr="00E44E89" w:rsidRDefault="00E44E89" w:rsidP="00E44E89">
      <w:pPr>
        <w:rPr>
          <w:sz w:val="18"/>
          <w:szCs w:val="18"/>
        </w:rPr>
      </w:pPr>
      <w:r w:rsidRPr="00E44E89">
        <w:rPr>
          <w:sz w:val="18"/>
          <w:szCs w:val="18"/>
        </w:rPr>
        <w:t xml:space="preserve">Arkadiusz </w:t>
      </w:r>
      <w:proofErr w:type="spellStart"/>
      <w:r w:rsidRPr="00E44E89">
        <w:rPr>
          <w:sz w:val="18"/>
          <w:szCs w:val="18"/>
        </w:rPr>
        <w:t>Osuch</w:t>
      </w:r>
      <w:proofErr w:type="spellEnd"/>
      <w:r w:rsidRPr="00E44E89">
        <w:rPr>
          <w:rFonts w:hint="eastAsia"/>
          <w:sz w:val="18"/>
          <w:szCs w:val="18"/>
        </w:rPr>
        <w:t>、</w:t>
      </w:r>
      <w:r w:rsidRPr="00E44E89">
        <w:rPr>
          <w:sz w:val="18"/>
          <w:szCs w:val="18"/>
        </w:rPr>
        <w:t>FAKOP</w:t>
      </w:r>
      <w:r w:rsidRPr="00E44E89">
        <w:rPr>
          <w:rFonts w:hint="eastAsia"/>
          <w:sz w:val="18"/>
          <w:szCs w:val="18"/>
        </w:rPr>
        <w:t>のマネージングディレクター</w:t>
      </w:r>
    </w:p>
    <w:p w14:paraId="023E23C0" w14:textId="77777777" w:rsidR="00E44E89" w:rsidRDefault="00E44E89" w:rsidP="00E44E89">
      <w:pPr>
        <w:rPr>
          <w:sz w:val="22"/>
        </w:rPr>
      </w:pPr>
      <w:r>
        <w:rPr>
          <w:noProof/>
          <w:lang w:eastAsia="zh-CN"/>
        </w:rPr>
        <w:drawing>
          <wp:inline distT="0" distB="0" distL="0" distR="0" wp14:anchorId="799CBE46" wp14:editId="0D3C838F">
            <wp:extent cx="2286000" cy="1524000"/>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1524000"/>
                    </a:xfrm>
                    <a:prstGeom prst="rect">
                      <a:avLst/>
                    </a:prstGeom>
                    <a:noFill/>
                    <a:ln>
                      <a:noFill/>
                    </a:ln>
                  </pic:spPr>
                </pic:pic>
              </a:graphicData>
            </a:graphic>
          </wp:inline>
        </w:drawing>
      </w:r>
    </w:p>
    <w:p w14:paraId="24EE327A" w14:textId="77777777" w:rsidR="00E44E89" w:rsidRPr="00E44E89" w:rsidRDefault="00E44E89" w:rsidP="00E44E89">
      <w:pPr>
        <w:rPr>
          <w:sz w:val="18"/>
          <w:szCs w:val="18"/>
        </w:rPr>
      </w:pPr>
      <w:proofErr w:type="spellStart"/>
      <w:r w:rsidRPr="00E44E89">
        <w:rPr>
          <w:sz w:val="18"/>
          <w:szCs w:val="18"/>
        </w:rPr>
        <w:t>Jaroslaw</w:t>
      </w:r>
      <w:proofErr w:type="spellEnd"/>
      <w:r w:rsidRPr="00E44E89">
        <w:rPr>
          <w:sz w:val="18"/>
          <w:szCs w:val="18"/>
        </w:rPr>
        <w:t xml:space="preserve"> </w:t>
      </w:r>
      <w:proofErr w:type="spellStart"/>
      <w:r w:rsidRPr="00E44E89">
        <w:rPr>
          <w:sz w:val="18"/>
          <w:szCs w:val="18"/>
        </w:rPr>
        <w:t>Olej</w:t>
      </w:r>
      <w:proofErr w:type="spellEnd"/>
      <w:r w:rsidRPr="00E44E89">
        <w:rPr>
          <w:rFonts w:hint="eastAsia"/>
          <w:sz w:val="18"/>
          <w:szCs w:val="18"/>
        </w:rPr>
        <w:t>、シニア溶接エキスパート</w:t>
      </w:r>
      <w:r w:rsidRPr="00E44E89">
        <w:rPr>
          <w:rFonts w:hint="eastAsia"/>
          <w:sz w:val="18"/>
          <w:szCs w:val="18"/>
        </w:rPr>
        <w:t xml:space="preserve"> </w:t>
      </w:r>
    </w:p>
    <w:p w14:paraId="61132EDD" w14:textId="77777777" w:rsidR="00E44E89" w:rsidRDefault="00E44E89" w:rsidP="00E44E89">
      <w:pPr>
        <w:rPr>
          <w:sz w:val="22"/>
        </w:rPr>
      </w:pPr>
      <w:r>
        <w:rPr>
          <w:noProof/>
          <w:lang w:eastAsia="zh-CN"/>
        </w:rPr>
        <w:drawing>
          <wp:inline distT="0" distB="0" distL="0" distR="0" wp14:anchorId="658FCFCD" wp14:editId="5923D6EB">
            <wp:extent cx="2266950" cy="1514475"/>
            <wp:effectExtent l="0" t="0" r="0"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66950" cy="1514475"/>
                    </a:xfrm>
                    <a:prstGeom prst="rect">
                      <a:avLst/>
                    </a:prstGeom>
                    <a:noFill/>
                    <a:ln>
                      <a:noFill/>
                    </a:ln>
                  </pic:spPr>
                </pic:pic>
              </a:graphicData>
            </a:graphic>
          </wp:inline>
        </w:drawing>
      </w:r>
    </w:p>
    <w:p w14:paraId="37F9BC23" w14:textId="77777777" w:rsidR="00E44E89" w:rsidRPr="00E44E89" w:rsidRDefault="00E44E89" w:rsidP="00E44E89">
      <w:pPr>
        <w:rPr>
          <w:noProof/>
          <w:sz w:val="18"/>
          <w:szCs w:val="18"/>
        </w:rPr>
      </w:pPr>
      <w:r w:rsidRPr="00E44E89">
        <w:rPr>
          <w:sz w:val="18"/>
          <w:szCs w:val="18"/>
        </w:rPr>
        <w:t xml:space="preserve">Piotr </w:t>
      </w:r>
      <w:proofErr w:type="spellStart"/>
      <w:r w:rsidRPr="00E44E89">
        <w:rPr>
          <w:sz w:val="18"/>
          <w:szCs w:val="18"/>
        </w:rPr>
        <w:t>Ogórek</w:t>
      </w:r>
      <w:proofErr w:type="spellEnd"/>
      <w:r w:rsidRPr="00E44E89">
        <w:rPr>
          <w:rFonts w:hint="eastAsia"/>
          <w:sz w:val="18"/>
          <w:szCs w:val="18"/>
        </w:rPr>
        <w:t>、技術開発エキスパート</w:t>
      </w:r>
      <w:r w:rsidRPr="00E44E89">
        <w:rPr>
          <w:rFonts w:hint="eastAsia"/>
          <w:sz w:val="18"/>
          <w:szCs w:val="18"/>
        </w:rPr>
        <w:t xml:space="preserve"> </w:t>
      </w:r>
    </w:p>
    <w:p w14:paraId="02B35B1E" w14:textId="77777777" w:rsidR="00E44E89" w:rsidRDefault="00E44E89" w:rsidP="00E44E89">
      <w:pPr>
        <w:rPr>
          <w:sz w:val="22"/>
        </w:rPr>
      </w:pPr>
      <w:r>
        <w:rPr>
          <w:noProof/>
          <w:lang w:eastAsia="zh-CN"/>
        </w:rPr>
        <w:drawing>
          <wp:inline distT="0" distB="0" distL="0" distR="0" wp14:anchorId="4EF8E158" wp14:editId="3CE9BCFE">
            <wp:extent cx="2266950" cy="1514475"/>
            <wp:effectExtent l="0" t="0" r="0"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66950" cy="1514475"/>
                    </a:xfrm>
                    <a:prstGeom prst="rect">
                      <a:avLst/>
                    </a:prstGeom>
                    <a:noFill/>
                    <a:ln>
                      <a:noFill/>
                    </a:ln>
                  </pic:spPr>
                </pic:pic>
              </a:graphicData>
            </a:graphic>
          </wp:inline>
        </w:drawing>
      </w:r>
    </w:p>
    <w:p w14:paraId="35BB3D8E" w14:textId="77777777" w:rsidR="00E44E89" w:rsidRPr="00E44E89" w:rsidRDefault="00E44E89" w:rsidP="00E44E89">
      <w:pPr>
        <w:rPr>
          <w:sz w:val="18"/>
          <w:szCs w:val="18"/>
        </w:rPr>
      </w:pPr>
      <w:r w:rsidRPr="00E44E89">
        <w:rPr>
          <w:sz w:val="18"/>
          <w:szCs w:val="18"/>
        </w:rPr>
        <w:t>CMT</w:t>
      </w:r>
      <w:r w:rsidRPr="00E44E89">
        <w:rPr>
          <w:rFonts w:hint="eastAsia"/>
          <w:sz w:val="18"/>
          <w:szCs w:val="18"/>
        </w:rPr>
        <w:t>肉盛溶接タワー</w:t>
      </w:r>
      <w:r w:rsidRPr="00E44E89">
        <w:rPr>
          <w:sz w:val="18"/>
          <w:szCs w:val="18"/>
        </w:rPr>
        <w:t xml:space="preserve">: </w:t>
      </w:r>
      <w:r w:rsidRPr="00E44E89">
        <w:rPr>
          <w:rFonts w:hint="eastAsia"/>
          <w:sz w:val="18"/>
          <w:szCs w:val="18"/>
        </w:rPr>
        <w:t>フィン付き壁は固定されている、プラットフォームビュー</w:t>
      </w:r>
    </w:p>
    <w:p w14:paraId="6B353824" w14:textId="77777777" w:rsidR="00E44E89" w:rsidRDefault="00E44E89" w:rsidP="00E44E89">
      <w:pPr>
        <w:rPr>
          <w:szCs w:val="20"/>
        </w:rPr>
      </w:pPr>
      <w:r>
        <w:rPr>
          <w:noProof/>
          <w:lang w:eastAsia="zh-CN"/>
        </w:rPr>
        <w:lastRenderedPageBreak/>
        <w:drawing>
          <wp:inline distT="0" distB="0" distL="0" distR="0" wp14:anchorId="6E0435CF" wp14:editId="329148BA">
            <wp:extent cx="2247900" cy="150495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47900" cy="1504950"/>
                    </a:xfrm>
                    <a:prstGeom prst="rect">
                      <a:avLst/>
                    </a:prstGeom>
                    <a:noFill/>
                    <a:ln>
                      <a:noFill/>
                    </a:ln>
                  </pic:spPr>
                </pic:pic>
              </a:graphicData>
            </a:graphic>
          </wp:inline>
        </w:drawing>
      </w:r>
    </w:p>
    <w:p w14:paraId="73B7BFD3" w14:textId="77777777" w:rsidR="00E44E89" w:rsidRPr="00E44E89" w:rsidRDefault="00E44E89" w:rsidP="00E44E89">
      <w:pPr>
        <w:rPr>
          <w:sz w:val="18"/>
          <w:szCs w:val="18"/>
        </w:rPr>
      </w:pPr>
      <w:r w:rsidRPr="00E44E89">
        <w:rPr>
          <w:sz w:val="18"/>
          <w:szCs w:val="18"/>
        </w:rPr>
        <w:t>CMT</w:t>
      </w:r>
      <w:r w:rsidRPr="00E44E89">
        <w:rPr>
          <w:rFonts w:hint="eastAsia"/>
          <w:sz w:val="18"/>
          <w:szCs w:val="18"/>
        </w:rPr>
        <w:t>肉盛溶接タワー</w:t>
      </w:r>
      <w:r w:rsidRPr="00E44E89">
        <w:rPr>
          <w:sz w:val="18"/>
          <w:szCs w:val="18"/>
        </w:rPr>
        <w:t xml:space="preserve">: </w:t>
      </w:r>
      <w:r w:rsidRPr="00E44E89">
        <w:rPr>
          <w:rFonts w:hint="eastAsia"/>
          <w:sz w:val="18"/>
          <w:szCs w:val="18"/>
        </w:rPr>
        <w:t>フィン付き壁は上昇している</w:t>
      </w:r>
    </w:p>
    <w:p w14:paraId="6B470081" w14:textId="77777777" w:rsidR="00E44E89" w:rsidRDefault="00E44E89" w:rsidP="00E44E89">
      <w:pPr>
        <w:rPr>
          <w:szCs w:val="20"/>
        </w:rPr>
      </w:pPr>
      <w:r>
        <w:rPr>
          <w:noProof/>
          <w:lang w:eastAsia="zh-CN"/>
        </w:rPr>
        <w:drawing>
          <wp:inline distT="0" distB="0" distL="0" distR="0" wp14:anchorId="0A9FCB3C" wp14:editId="2F447119">
            <wp:extent cx="2352675" cy="1571625"/>
            <wp:effectExtent l="0" t="0" r="9525"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52675" cy="1571625"/>
                    </a:xfrm>
                    <a:prstGeom prst="rect">
                      <a:avLst/>
                    </a:prstGeom>
                    <a:noFill/>
                    <a:ln>
                      <a:noFill/>
                    </a:ln>
                  </pic:spPr>
                </pic:pic>
              </a:graphicData>
            </a:graphic>
          </wp:inline>
        </w:drawing>
      </w:r>
    </w:p>
    <w:p w14:paraId="1DEB42A3" w14:textId="77777777" w:rsidR="00E44E89" w:rsidRPr="00E44E89" w:rsidRDefault="00E44E89" w:rsidP="00E44E89">
      <w:pPr>
        <w:rPr>
          <w:sz w:val="18"/>
          <w:szCs w:val="18"/>
        </w:rPr>
      </w:pPr>
      <w:r w:rsidRPr="00E44E89">
        <w:rPr>
          <w:sz w:val="18"/>
          <w:szCs w:val="18"/>
        </w:rPr>
        <w:t>CMT</w:t>
      </w:r>
      <w:r w:rsidRPr="00E44E89">
        <w:rPr>
          <w:rFonts w:hint="eastAsia"/>
          <w:sz w:val="18"/>
          <w:szCs w:val="18"/>
        </w:rPr>
        <w:t>肉盛溶接タワー</w:t>
      </w:r>
      <w:r w:rsidRPr="00E44E89">
        <w:rPr>
          <w:sz w:val="18"/>
          <w:szCs w:val="18"/>
        </w:rPr>
        <w:t xml:space="preserve">: </w:t>
      </w:r>
      <w:r w:rsidRPr="00E44E89">
        <w:rPr>
          <w:rFonts w:hint="eastAsia"/>
          <w:sz w:val="18"/>
          <w:szCs w:val="18"/>
        </w:rPr>
        <w:t>肉盛溶接プロセスのビュー</w:t>
      </w:r>
    </w:p>
    <w:p w14:paraId="65681EBC" w14:textId="77777777" w:rsidR="00E44E89" w:rsidRDefault="00E44E89" w:rsidP="00E44E89">
      <w:pPr>
        <w:rPr>
          <w:szCs w:val="20"/>
        </w:rPr>
      </w:pPr>
      <w:r>
        <w:rPr>
          <w:noProof/>
          <w:lang w:eastAsia="zh-CN"/>
        </w:rPr>
        <w:drawing>
          <wp:inline distT="0" distB="0" distL="0" distR="0" wp14:anchorId="6FB39DAD" wp14:editId="58B4EEA2">
            <wp:extent cx="2333625" cy="1562100"/>
            <wp:effectExtent l="0" t="0" r="952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33625" cy="1562100"/>
                    </a:xfrm>
                    <a:prstGeom prst="rect">
                      <a:avLst/>
                    </a:prstGeom>
                    <a:noFill/>
                    <a:ln>
                      <a:noFill/>
                    </a:ln>
                  </pic:spPr>
                </pic:pic>
              </a:graphicData>
            </a:graphic>
          </wp:inline>
        </w:drawing>
      </w:r>
    </w:p>
    <w:p w14:paraId="667002FD" w14:textId="77777777" w:rsidR="00E44E89" w:rsidRPr="00E44E89" w:rsidRDefault="00E44E89" w:rsidP="00E44E89">
      <w:pPr>
        <w:rPr>
          <w:sz w:val="18"/>
          <w:szCs w:val="18"/>
        </w:rPr>
      </w:pPr>
      <w:r w:rsidRPr="00E44E89">
        <w:rPr>
          <w:sz w:val="18"/>
          <w:szCs w:val="18"/>
        </w:rPr>
        <w:t>CMT</w:t>
      </w:r>
      <w:r w:rsidRPr="00E44E89">
        <w:rPr>
          <w:rFonts w:hint="eastAsia"/>
          <w:sz w:val="18"/>
          <w:szCs w:val="18"/>
        </w:rPr>
        <w:t>肉盛溶接タワー</w:t>
      </w:r>
      <w:r w:rsidRPr="00E44E89">
        <w:rPr>
          <w:sz w:val="18"/>
          <w:szCs w:val="18"/>
        </w:rPr>
        <w:t xml:space="preserve">: </w:t>
      </w:r>
      <w:r w:rsidRPr="00E44E89">
        <w:rPr>
          <w:rFonts w:hint="eastAsia"/>
          <w:sz w:val="18"/>
          <w:szCs w:val="18"/>
        </w:rPr>
        <w:t>フューム抽出付き溶接トーチ</w:t>
      </w:r>
    </w:p>
    <w:p w14:paraId="418833CF" w14:textId="21385BDA" w:rsidR="00E44E89" w:rsidRDefault="00E44E89" w:rsidP="00E44E89"/>
    <w:p w14:paraId="0A2870E6" w14:textId="77777777" w:rsidR="00E44E89" w:rsidRDefault="00E44E89" w:rsidP="00E44E89">
      <w:pPr>
        <w:rPr>
          <w:rFonts w:hint="eastAsia"/>
          <w:sz w:val="16"/>
        </w:rPr>
      </w:pPr>
    </w:p>
    <w:p w14:paraId="1F74917B" w14:textId="55FDEB08" w:rsidR="001C1B16" w:rsidRDefault="001C1B16" w:rsidP="000A1D14">
      <w:pPr>
        <w:rPr>
          <w:sz w:val="16"/>
        </w:rPr>
      </w:pPr>
    </w:p>
    <w:p w14:paraId="56F65864" w14:textId="77777777" w:rsidR="001C1B16" w:rsidRPr="008B46F0" w:rsidRDefault="001C1B16" w:rsidP="001C1B16">
      <w:pPr>
        <w:pStyle w:val="berschrift4"/>
        <w:jc w:val="both"/>
        <w:rPr>
          <w:szCs w:val="20"/>
          <w:lang w:val="pt-BR"/>
        </w:rPr>
      </w:pPr>
      <w:r w:rsidRPr="008B46F0">
        <w:rPr>
          <w:szCs w:val="20"/>
          <w:lang w:val="pt-BR"/>
        </w:rPr>
        <w:t>Perfect Welding</w:t>
      </w:r>
      <w:r w:rsidRPr="000A3FD5">
        <w:rPr>
          <w:rFonts w:ascii="MS Gothic" w:eastAsia="MS Gothic" w:hAnsi="MS Gothic" w:cs="MS Gothic" w:hint="eastAsia"/>
          <w:szCs w:val="20"/>
        </w:rPr>
        <w:t>ビジネスユニット</w:t>
      </w:r>
    </w:p>
    <w:p w14:paraId="43A9DAD5" w14:textId="77777777" w:rsidR="001C1B16" w:rsidRPr="006E29F8" w:rsidRDefault="001C1B16" w:rsidP="001C1B16">
      <w:pPr>
        <w:rPr>
          <w:rFonts w:cs="Arial"/>
          <w:szCs w:val="20"/>
        </w:rPr>
      </w:pPr>
      <w:r w:rsidRPr="008B46F0">
        <w:rPr>
          <w:rFonts w:cs="Arial"/>
          <w:szCs w:val="20"/>
          <w:lang w:val="pt-BR"/>
        </w:rPr>
        <w:t>Fronius Perfect Welding</w:t>
      </w:r>
      <w:r w:rsidRPr="000A3FD5">
        <w:rPr>
          <w:rFonts w:ascii="MS Gothic" w:eastAsia="MS Gothic" w:hAnsi="MS Gothic" w:cs="MS Gothic" w:hint="eastAsia"/>
          <w:szCs w:val="20"/>
        </w:rPr>
        <w:t>は、アーク溶接の先駆的リーダーであり、ロボット溶接の世界的なマーケットリーダーです。また、</w:t>
      </w:r>
      <w:r w:rsidRPr="000A3FD5">
        <w:rPr>
          <w:rFonts w:cs="Arial"/>
          <w:szCs w:val="20"/>
        </w:rPr>
        <w:t>Fronius Welding Automation</w:t>
      </w:r>
      <w:r w:rsidRPr="000A3FD5">
        <w:rPr>
          <w:rFonts w:ascii="MS Gothic" w:eastAsia="MS Gothic" w:hAnsi="MS Gothic" w:cs="MS Gothic" w:hint="eastAsia"/>
          <w:szCs w:val="20"/>
        </w:rPr>
        <w:t>は、システムプロバイダとしてコンテナの建設から海洋掘削装置の肉盛溶接まで、さまざまな分野でお客様に適した自動完成溶接ソリューションを提供しています。そして、手動用溶接電源、溶接付属品、そして幅広いサービスを提供しています。また、</w:t>
      </w:r>
      <w:r w:rsidRPr="000A3FD5">
        <w:rPr>
          <w:rFonts w:cs="Arial"/>
          <w:szCs w:val="20"/>
        </w:rPr>
        <w:t>1,000</w:t>
      </w:r>
      <w:r w:rsidRPr="000A3FD5">
        <w:rPr>
          <w:rFonts w:ascii="MS Gothic" w:eastAsia="MS Gothic" w:hAnsi="MS Gothic" w:cs="MS Gothic" w:hint="eastAsia"/>
          <w:szCs w:val="20"/>
        </w:rPr>
        <w:t>を超える世界中のセールスパートナーと提携しており、</w:t>
      </w:r>
      <w:r w:rsidRPr="000A3FD5">
        <w:rPr>
          <w:rFonts w:cs="Arial"/>
          <w:szCs w:val="20"/>
        </w:rPr>
        <w:t>Fronius Perfect Welding</w:t>
      </w:r>
      <w:r w:rsidRPr="000A3FD5">
        <w:rPr>
          <w:rFonts w:ascii="MS Gothic" w:eastAsia="MS Gothic" w:hAnsi="MS Gothic" w:cs="MS Gothic" w:hint="eastAsia"/>
          <w:szCs w:val="20"/>
        </w:rPr>
        <w:t>は常にお客様に近くでサポートします。</w:t>
      </w:r>
    </w:p>
    <w:p w14:paraId="663CE36F" w14:textId="77777777" w:rsidR="001C1B16" w:rsidRPr="006E29F8" w:rsidRDefault="001C1B16" w:rsidP="001C1B16">
      <w:pPr>
        <w:rPr>
          <w:rFonts w:cs="Arial"/>
          <w:szCs w:val="20"/>
        </w:rPr>
      </w:pPr>
    </w:p>
    <w:p w14:paraId="48EE1328" w14:textId="77777777" w:rsidR="001C1B16" w:rsidRPr="006E29F8" w:rsidRDefault="001C1B16" w:rsidP="001C1B16">
      <w:pPr>
        <w:pStyle w:val="berschrift4"/>
        <w:jc w:val="both"/>
        <w:rPr>
          <w:szCs w:val="20"/>
        </w:rPr>
      </w:pPr>
      <w:r w:rsidRPr="006E29F8">
        <w:rPr>
          <w:szCs w:val="20"/>
        </w:rPr>
        <w:t>Fronius International GmbH</w:t>
      </w:r>
    </w:p>
    <w:p w14:paraId="7061CCB4" w14:textId="77777777" w:rsidR="001C1B16" w:rsidRPr="006E29F8" w:rsidRDefault="001C1B16" w:rsidP="001C1B16">
      <w:pPr>
        <w:rPr>
          <w:rFonts w:cs="Arial"/>
          <w:szCs w:val="20"/>
        </w:rPr>
      </w:pPr>
      <w:r w:rsidRPr="000A3FD5">
        <w:rPr>
          <w:rFonts w:cs="Arial"/>
          <w:szCs w:val="20"/>
        </w:rPr>
        <w:t>Fronius International GmbH</w:t>
      </w:r>
      <w:r w:rsidRPr="000A3FD5">
        <w:rPr>
          <w:rFonts w:ascii="MS Gothic" w:eastAsia="MS Gothic" w:hAnsi="MS Gothic" w:cs="MS Gothic" w:hint="eastAsia"/>
          <w:szCs w:val="20"/>
        </w:rPr>
        <w:t>はペッテンバッハに本社を置き、ベルス、タールハイム、スタインハウスおよびザットレット拠点を有するオーストリアの企業です。</w:t>
      </w:r>
      <w:r w:rsidRPr="000A3FD5">
        <w:rPr>
          <w:rFonts w:cs="Arial"/>
          <w:szCs w:val="20"/>
        </w:rPr>
        <w:t>Fronius</w:t>
      </w:r>
      <w:r w:rsidRPr="000A3FD5">
        <w:rPr>
          <w:rFonts w:ascii="MS Gothic" w:eastAsia="MS Gothic" w:hAnsi="MS Gothic" w:cs="MS Gothic" w:hint="eastAsia"/>
          <w:szCs w:val="20"/>
        </w:rPr>
        <w:t>社は世界に</w:t>
      </w:r>
      <w:r w:rsidRPr="000A3FD5">
        <w:rPr>
          <w:rFonts w:cs="Arial"/>
          <w:szCs w:val="20"/>
        </w:rPr>
        <w:t>6,100</w:t>
      </w:r>
      <w:r w:rsidRPr="000A3FD5">
        <w:rPr>
          <w:rFonts w:ascii="MS Gothic" w:eastAsia="MS Gothic" w:hAnsi="MS Gothic" w:cs="MS Gothic" w:hint="eastAsia"/>
          <w:szCs w:val="20"/>
        </w:rPr>
        <w:t>名の従業</w:t>
      </w:r>
      <w:r w:rsidRPr="000A3FD5">
        <w:rPr>
          <w:rFonts w:ascii="MS Gothic" w:eastAsia="MS Gothic" w:hAnsi="MS Gothic" w:cs="MS Gothic" w:hint="eastAsia"/>
          <w:szCs w:val="20"/>
        </w:rPr>
        <w:lastRenderedPageBreak/>
        <w:t>員を擁し、溶接技術、太陽エネルギーおよびバッテリー充電技術の分野で活躍しています。当社製品の約</w:t>
      </w:r>
      <w:r w:rsidRPr="000A3FD5">
        <w:rPr>
          <w:rFonts w:cs="Arial"/>
          <w:szCs w:val="20"/>
        </w:rPr>
        <w:t>89%</w:t>
      </w:r>
      <w:r w:rsidRPr="000A3FD5">
        <w:rPr>
          <w:rFonts w:ascii="MS Gothic" w:eastAsia="MS Gothic" w:hAnsi="MS Gothic" w:cs="MS Gothic" w:hint="eastAsia"/>
          <w:szCs w:val="20"/>
        </w:rPr>
        <w:t>は</w:t>
      </w:r>
      <w:r w:rsidRPr="000A3FD5">
        <w:rPr>
          <w:rFonts w:cs="Arial"/>
          <w:szCs w:val="20"/>
        </w:rPr>
        <w:t>36</w:t>
      </w:r>
      <w:r w:rsidRPr="000A3FD5">
        <w:rPr>
          <w:rFonts w:ascii="MS Gothic" w:eastAsia="MS Gothic" w:hAnsi="MS Gothic" w:cs="MS Gothic" w:hint="eastAsia"/>
          <w:szCs w:val="20"/>
        </w:rPr>
        <w:t>ヵ国にある</w:t>
      </w:r>
      <w:r w:rsidRPr="000A3FD5">
        <w:rPr>
          <w:rFonts w:cs="Arial"/>
          <w:szCs w:val="20"/>
        </w:rPr>
        <w:t>Fronius</w:t>
      </w:r>
      <w:r w:rsidRPr="000A3FD5">
        <w:rPr>
          <w:rFonts w:ascii="MS Gothic" w:eastAsia="MS Gothic" w:hAnsi="MS Gothic" w:cs="MS Gothic" w:hint="eastAsia"/>
          <w:szCs w:val="20"/>
        </w:rPr>
        <w:t>の海外子会社および販売パートナー</w:t>
      </w:r>
      <w:r w:rsidRPr="000A3FD5">
        <w:rPr>
          <w:rFonts w:cs="Arial"/>
          <w:szCs w:val="20"/>
        </w:rPr>
        <w:t>/</w:t>
      </w:r>
      <w:r w:rsidRPr="000A3FD5">
        <w:rPr>
          <w:rFonts w:ascii="MS Gothic" w:eastAsia="MS Gothic" w:hAnsi="MS Gothic" w:cs="MS Gothic" w:hint="eastAsia"/>
          <w:szCs w:val="20"/>
        </w:rPr>
        <w:t>代理店を通して</w:t>
      </w:r>
      <w:r w:rsidRPr="000A3FD5">
        <w:rPr>
          <w:rFonts w:cs="Arial"/>
          <w:szCs w:val="20"/>
        </w:rPr>
        <w:t>60</w:t>
      </w:r>
      <w:r w:rsidRPr="000A3FD5">
        <w:rPr>
          <w:rFonts w:ascii="MS Gothic" w:eastAsia="MS Gothic" w:hAnsi="MS Gothic" w:cs="MS Gothic" w:hint="eastAsia"/>
          <w:szCs w:val="20"/>
        </w:rPr>
        <w:t>ヵ国以上に輸出されています。革新的な製品とサービスを提供し、</w:t>
      </w:r>
      <w:r w:rsidRPr="000A3FD5">
        <w:rPr>
          <w:rFonts w:cs="Arial"/>
          <w:szCs w:val="20"/>
        </w:rPr>
        <w:t>1,366</w:t>
      </w:r>
      <w:r w:rsidRPr="000A3FD5">
        <w:rPr>
          <w:rFonts w:ascii="MS Gothic" w:eastAsia="MS Gothic" w:hAnsi="MS Gothic" w:cs="MS Gothic" w:hint="eastAsia"/>
          <w:szCs w:val="20"/>
        </w:rPr>
        <w:t>件の特許登録件数を有する</w:t>
      </w:r>
      <w:r w:rsidRPr="000A3FD5">
        <w:rPr>
          <w:rFonts w:cs="Arial"/>
          <w:szCs w:val="20"/>
        </w:rPr>
        <w:t>Fronius</w:t>
      </w:r>
      <w:r w:rsidRPr="000A3FD5">
        <w:rPr>
          <w:rFonts w:ascii="MS Gothic" w:eastAsia="MS Gothic" w:hAnsi="MS Gothic" w:cs="MS Gothic" w:hint="eastAsia"/>
          <w:szCs w:val="20"/>
        </w:rPr>
        <w:t>は、イノベーションで世界をけん引しています。</w:t>
      </w:r>
    </w:p>
    <w:p w14:paraId="72F71A29" w14:textId="77777777" w:rsidR="001C1B16" w:rsidRDefault="001C1B16" w:rsidP="001C1B16"/>
    <w:p w14:paraId="0CB39201" w14:textId="77777777" w:rsidR="001C1B16" w:rsidRPr="006E29F8" w:rsidRDefault="001C1B16" w:rsidP="001C1B16">
      <w:pPr>
        <w:pStyle w:val="Textkrper2"/>
        <w:spacing w:after="0" w:line="240" w:lineRule="auto"/>
        <w:ind w:right="29"/>
        <w:rPr>
          <w:rFonts w:ascii="Noto Sans" w:eastAsiaTheme="majorEastAsia" w:hAnsi="Noto Sans" w:cstheme="majorBidi"/>
          <w:iCs/>
          <w:color w:val="000000" w:themeColor="text1"/>
          <w:szCs w:val="20"/>
          <w:u w:val="single"/>
          <w:lang w:eastAsia="en-US"/>
        </w:rPr>
      </w:pPr>
      <w:proofErr w:type="spellStart"/>
      <w:r w:rsidRPr="006E0DEF">
        <w:rPr>
          <w:rFonts w:ascii="MS Gothic" w:eastAsia="MS Gothic" w:hAnsi="MS Gothic" w:cs="MS Gothic" w:hint="eastAsia"/>
          <w:iCs/>
          <w:color w:val="000000" w:themeColor="text1"/>
          <w:szCs w:val="20"/>
          <w:u w:val="single"/>
          <w:lang w:eastAsia="en-US"/>
        </w:rPr>
        <w:t>詳細は、以下にお問い合わせください</w:t>
      </w:r>
      <w:proofErr w:type="spellEnd"/>
      <w:r w:rsidRPr="006E0DEF">
        <w:rPr>
          <w:rFonts w:ascii="MS Gothic" w:eastAsia="MS Gothic" w:hAnsi="MS Gothic" w:cs="MS Gothic" w:hint="eastAsia"/>
          <w:iCs/>
          <w:color w:val="000000" w:themeColor="text1"/>
          <w:szCs w:val="20"/>
          <w:u w:val="single"/>
          <w:lang w:eastAsia="en-US"/>
        </w:rPr>
        <w:t>：</w:t>
      </w:r>
      <w:r w:rsidRPr="006E29F8">
        <w:rPr>
          <w:rFonts w:ascii="Noto Sans" w:eastAsiaTheme="majorEastAsia" w:hAnsi="Noto Sans" w:cstheme="majorBidi"/>
          <w:iCs/>
          <w:color w:val="000000" w:themeColor="text1"/>
          <w:szCs w:val="20"/>
          <w:u w:val="single"/>
          <w:lang w:eastAsia="en-US"/>
        </w:rPr>
        <w:br/>
      </w:r>
      <w:r w:rsidRPr="006E29F8">
        <w:rPr>
          <w:rFonts w:ascii="Noto Sans" w:hAnsi="Noto Sans" w:cs="Noto Sans"/>
          <w:b/>
          <w:iCs/>
          <w:snapToGrid w:val="0"/>
          <w:szCs w:val="20"/>
        </w:rPr>
        <w:br/>
      </w:r>
      <w:r w:rsidRPr="006E0DEF">
        <w:rPr>
          <w:rFonts w:ascii="Noto Sans" w:hAnsi="Noto Sans" w:cs="Noto Sans"/>
          <w:bCs/>
          <w:szCs w:val="20"/>
        </w:rPr>
        <w:t>Fronius Japan K.K.</w:t>
      </w:r>
    </w:p>
    <w:p w14:paraId="5FF4F49F" w14:textId="77777777" w:rsidR="001C1B16" w:rsidRPr="006E0DEF" w:rsidRDefault="001C1B16" w:rsidP="001C1B16">
      <w:pPr>
        <w:pStyle w:val="Textkrper2"/>
        <w:spacing w:after="0" w:line="240" w:lineRule="auto"/>
        <w:ind w:right="29"/>
        <w:rPr>
          <w:rFonts w:ascii="Noto Sans" w:hAnsi="Noto Sans" w:cs="Noto Sans"/>
          <w:bCs/>
          <w:szCs w:val="20"/>
        </w:rPr>
      </w:pPr>
      <w:r w:rsidRPr="006E0DEF">
        <w:rPr>
          <w:rFonts w:ascii="Noto Sans" w:hAnsi="Noto Sans" w:cs="Noto Sans" w:hint="eastAsia"/>
          <w:bCs/>
          <w:szCs w:val="20"/>
        </w:rPr>
        <w:t>〒</w:t>
      </w:r>
      <w:r w:rsidRPr="006E0DEF">
        <w:rPr>
          <w:rFonts w:ascii="Noto Sans" w:hAnsi="Noto Sans" w:cs="Noto Sans"/>
          <w:bCs/>
          <w:szCs w:val="20"/>
        </w:rPr>
        <w:t>465-0025</w:t>
      </w:r>
      <w:r w:rsidRPr="006E0DEF">
        <w:rPr>
          <w:rFonts w:ascii="Noto Sans" w:hAnsi="Noto Sans" w:cs="Noto Sans" w:hint="eastAsia"/>
          <w:bCs/>
          <w:szCs w:val="20"/>
        </w:rPr>
        <w:t xml:space="preserve">　愛知県名古屋市名東区上社</w:t>
      </w:r>
      <w:r w:rsidRPr="006E0DEF">
        <w:rPr>
          <w:rFonts w:ascii="Noto Sans" w:hAnsi="Noto Sans" w:cs="Noto Sans"/>
          <w:bCs/>
          <w:szCs w:val="20"/>
        </w:rPr>
        <w:t>1-407</w:t>
      </w:r>
      <w:r w:rsidRPr="006E0DEF">
        <w:rPr>
          <w:rFonts w:ascii="Noto Sans" w:hAnsi="Noto Sans" w:cs="Noto Sans" w:hint="eastAsia"/>
          <w:bCs/>
          <w:szCs w:val="20"/>
        </w:rPr>
        <w:t>、電話番号：</w:t>
      </w:r>
      <w:r w:rsidRPr="006E0DEF">
        <w:rPr>
          <w:rFonts w:ascii="Noto Sans" w:hAnsi="Noto Sans" w:cs="Noto Sans"/>
          <w:bCs/>
          <w:szCs w:val="20"/>
        </w:rPr>
        <w:t>+81 (52) 726 6646</w:t>
      </w:r>
    </w:p>
    <w:p w14:paraId="535963CF" w14:textId="77777777" w:rsidR="001C1B16" w:rsidRPr="006E0DEF" w:rsidRDefault="001C1B16" w:rsidP="001C1B16">
      <w:pPr>
        <w:pStyle w:val="Textkrper2"/>
        <w:spacing w:after="0" w:line="240" w:lineRule="auto"/>
        <w:ind w:right="29"/>
        <w:rPr>
          <w:rFonts w:ascii="Noto Sans" w:hAnsi="Noto Sans" w:cs="Noto Sans"/>
          <w:bCs/>
          <w:szCs w:val="20"/>
        </w:rPr>
      </w:pPr>
      <w:r w:rsidRPr="006E0DEF">
        <w:t>E</w:t>
      </w:r>
      <w:r w:rsidRPr="006E0DEF">
        <w:rPr>
          <w:rFonts w:hint="eastAsia"/>
        </w:rPr>
        <w:t>メール</w:t>
      </w:r>
      <w:r w:rsidRPr="006E0DEF">
        <w:rPr>
          <w:rFonts w:ascii="Noto Sans" w:hAnsi="Noto Sans" w:cs="Noto Sans" w:hint="eastAsia"/>
          <w:bCs/>
          <w:szCs w:val="20"/>
        </w:rPr>
        <w:t>アドレス</w:t>
      </w:r>
      <w:r w:rsidRPr="006E0DEF">
        <w:rPr>
          <w:rFonts w:hint="eastAsia"/>
        </w:rPr>
        <w:t>：</w:t>
      </w:r>
      <w:r w:rsidRPr="006E0DEF">
        <w:rPr>
          <w:rStyle w:val="Hyperlink"/>
          <w:rFonts w:ascii="Noto Sans" w:hAnsi="Noto Sans" w:cs="Noto Sans"/>
          <w:bCs/>
          <w:szCs w:val="20"/>
        </w:rPr>
        <w:t>info.japan@fronius.com</w:t>
      </w:r>
    </w:p>
    <w:p w14:paraId="2756D331" w14:textId="77777777" w:rsidR="001C1B16" w:rsidRPr="008B46F0" w:rsidRDefault="001C1B16" w:rsidP="001C1B16">
      <w:pPr>
        <w:pStyle w:val="Textkrper2"/>
        <w:spacing w:after="0" w:line="240" w:lineRule="auto"/>
        <w:ind w:right="29"/>
        <w:rPr>
          <w:rFonts w:ascii="Noto Sans" w:eastAsiaTheme="majorEastAsia" w:hAnsi="Noto Sans" w:cstheme="majorBidi"/>
          <w:iCs/>
          <w:color w:val="000000" w:themeColor="text1"/>
          <w:szCs w:val="20"/>
          <w:u w:val="single"/>
          <w:lang w:eastAsia="en-US"/>
        </w:rPr>
      </w:pPr>
    </w:p>
    <w:p w14:paraId="48F0D438" w14:textId="77777777" w:rsidR="001C1B16" w:rsidRPr="008B46F0" w:rsidRDefault="001C1B16" w:rsidP="001C1B16">
      <w:pPr>
        <w:pStyle w:val="Textkrper2"/>
        <w:spacing w:after="0" w:line="240" w:lineRule="auto"/>
        <w:ind w:right="29"/>
        <w:rPr>
          <w:rFonts w:ascii="Noto Sans" w:eastAsiaTheme="majorEastAsia" w:hAnsi="Noto Sans" w:cstheme="majorBidi"/>
          <w:iCs/>
          <w:color w:val="000000" w:themeColor="text1"/>
          <w:szCs w:val="20"/>
          <w:u w:val="single"/>
          <w:lang w:eastAsia="en-US"/>
        </w:rPr>
      </w:pPr>
    </w:p>
    <w:p w14:paraId="5A0A44E1" w14:textId="77777777" w:rsidR="001C1B16" w:rsidRPr="006E29F8" w:rsidRDefault="001C1B16" w:rsidP="001C1B16">
      <w:pPr>
        <w:pStyle w:val="Textkrper2"/>
        <w:spacing w:after="0" w:line="240" w:lineRule="auto"/>
        <w:ind w:right="29"/>
        <w:rPr>
          <w:rFonts w:ascii="Noto Sans" w:eastAsiaTheme="majorEastAsia" w:hAnsi="Noto Sans" w:cstheme="majorBidi"/>
          <w:iCs/>
          <w:color w:val="000000" w:themeColor="text1"/>
          <w:szCs w:val="20"/>
          <w:u w:val="single"/>
          <w:lang w:val="de-AT" w:eastAsia="en-US"/>
        </w:rPr>
      </w:pPr>
      <w:proofErr w:type="spellStart"/>
      <w:r w:rsidRPr="006E29F8">
        <w:rPr>
          <w:rFonts w:ascii="Noto Sans" w:eastAsiaTheme="majorEastAsia" w:hAnsi="Noto Sans" w:cstheme="majorBidi"/>
          <w:iCs/>
          <w:color w:val="000000" w:themeColor="text1"/>
          <w:szCs w:val="20"/>
          <w:u w:val="single"/>
          <w:lang w:val="de-AT" w:eastAsia="en-US"/>
        </w:rPr>
        <w:t>Zašlete</w:t>
      </w:r>
      <w:proofErr w:type="spellEnd"/>
      <w:r w:rsidRPr="006E29F8">
        <w:rPr>
          <w:rFonts w:ascii="Noto Sans" w:eastAsiaTheme="majorEastAsia" w:hAnsi="Noto Sans" w:cstheme="majorBidi"/>
          <w:iCs/>
          <w:color w:val="000000" w:themeColor="text1"/>
          <w:szCs w:val="20"/>
          <w:u w:val="single"/>
          <w:lang w:val="de-AT" w:eastAsia="en-US"/>
        </w:rPr>
        <w:t xml:space="preserve"> </w:t>
      </w:r>
      <w:proofErr w:type="spellStart"/>
      <w:r w:rsidRPr="006E29F8">
        <w:rPr>
          <w:rFonts w:ascii="Noto Sans" w:eastAsiaTheme="majorEastAsia" w:hAnsi="Noto Sans" w:cstheme="majorBidi"/>
          <w:iCs/>
          <w:color w:val="000000" w:themeColor="text1"/>
          <w:szCs w:val="20"/>
          <w:u w:val="single"/>
          <w:lang w:val="de-AT" w:eastAsia="en-US"/>
        </w:rPr>
        <w:t>prosím</w:t>
      </w:r>
      <w:proofErr w:type="spellEnd"/>
      <w:r w:rsidRPr="006E29F8">
        <w:rPr>
          <w:rFonts w:ascii="Noto Sans" w:eastAsiaTheme="majorEastAsia" w:hAnsi="Noto Sans" w:cstheme="majorBidi"/>
          <w:iCs/>
          <w:color w:val="000000" w:themeColor="text1"/>
          <w:szCs w:val="20"/>
          <w:u w:val="single"/>
          <w:lang w:val="de-AT" w:eastAsia="en-US"/>
        </w:rPr>
        <w:t xml:space="preserve"> </w:t>
      </w:r>
      <w:proofErr w:type="spellStart"/>
      <w:r w:rsidRPr="006E29F8">
        <w:rPr>
          <w:rFonts w:ascii="Noto Sans" w:eastAsiaTheme="majorEastAsia" w:hAnsi="Noto Sans" w:cstheme="majorBidi"/>
          <w:iCs/>
          <w:color w:val="000000" w:themeColor="text1"/>
          <w:szCs w:val="20"/>
          <w:u w:val="single"/>
          <w:lang w:val="de-AT" w:eastAsia="en-US"/>
        </w:rPr>
        <w:t>autorský</w:t>
      </w:r>
      <w:proofErr w:type="spellEnd"/>
      <w:r w:rsidRPr="006E29F8">
        <w:rPr>
          <w:rFonts w:ascii="Noto Sans" w:eastAsiaTheme="majorEastAsia" w:hAnsi="Noto Sans" w:cstheme="majorBidi"/>
          <w:iCs/>
          <w:color w:val="000000" w:themeColor="text1"/>
          <w:szCs w:val="20"/>
          <w:u w:val="single"/>
          <w:lang w:val="de-AT" w:eastAsia="en-US"/>
        </w:rPr>
        <w:t xml:space="preserve"> </w:t>
      </w:r>
      <w:proofErr w:type="spellStart"/>
      <w:r w:rsidRPr="006E29F8">
        <w:rPr>
          <w:rFonts w:ascii="Noto Sans" w:eastAsiaTheme="majorEastAsia" w:hAnsi="Noto Sans" w:cstheme="majorBidi"/>
          <w:iCs/>
          <w:color w:val="000000" w:themeColor="text1"/>
          <w:szCs w:val="20"/>
          <w:u w:val="single"/>
          <w:lang w:val="de-AT" w:eastAsia="en-US"/>
        </w:rPr>
        <w:t>výtisk</w:t>
      </w:r>
      <w:proofErr w:type="spellEnd"/>
      <w:r w:rsidRPr="006E29F8">
        <w:rPr>
          <w:rFonts w:ascii="Noto Sans" w:eastAsiaTheme="majorEastAsia" w:hAnsi="Noto Sans" w:cstheme="majorBidi"/>
          <w:iCs/>
          <w:color w:val="000000" w:themeColor="text1"/>
          <w:szCs w:val="20"/>
          <w:u w:val="single"/>
          <w:lang w:val="de-AT" w:eastAsia="en-US"/>
        </w:rPr>
        <w:t xml:space="preserve"> </w:t>
      </w:r>
      <w:proofErr w:type="spellStart"/>
      <w:r w:rsidRPr="006E29F8">
        <w:rPr>
          <w:rFonts w:ascii="Noto Sans" w:eastAsiaTheme="majorEastAsia" w:hAnsi="Noto Sans" w:cstheme="majorBidi"/>
          <w:iCs/>
          <w:color w:val="000000" w:themeColor="text1"/>
          <w:szCs w:val="20"/>
          <w:u w:val="single"/>
          <w:lang w:val="de-AT" w:eastAsia="en-US"/>
        </w:rPr>
        <w:t>naší</w:t>
      </w:r>
      <w:proofErr w:type="spellEnd"/>
      <w:r w:rsidRPr="006E29F8">
        <w:rPr>
          <w:rFonts w:ascii="Noto Sans" w:eastAsiaTheme="majorEastAsia" w:hAnsi="Noto Sans" w:cstheme="majorBidi"/>
          <w:iCs/>
          <w:color w:val="000000" w:themeColor="text1"/>
          <w:szCs w:val="20"/>
          <w:u w:val="single"/>
          <w:lang w:val="de-AT" w:eastAsia="en-US"/>
        </w:rPr>
        <w:t xml:space="preserve"> </w:t>
      </w:r>
      <w:proofErr w:type="spellStart"/>
      <w:r w:rsidRPr="006E29F8">
        <w:rPr>
          <w:rFonts w:ascii="Noto Sans" w:eastAsiaTheme="majorEastAsia" w:hAnsi="Noto Sans" w:cstheme="majorBidi"/>
          <w:iCs/>
          <w:color w:val="000000" w:themeColor="text1"/>
          <w:szCs w:val="20"/>
          <w:u w:val="single"/>
          <w:lang w:val="de-AT" w:eastAsia="en-US"/>
        </w:rPr>
        <w:t>agentuře</w:t>
      </w:r>
      <w:proofErr w:type="spellEnd"/>
      <w:r w:rsidRPr="006E29F8">
        <w:rPr>
          <w:rFonts w:ascii="Noto Sans" w:eastAsiaTheme="majorEastAsia" w:hAnsi="Noto Sans" w:cstheme="majorBidi"/>
          <w:iCs/>
          <w:color w:val="000000" w:themeColor="text1"/>
          <w:szCs w:val="20"/>
          <w:u w:val="single"/>
          <w:lang w:val="de-AT" w:eastAsia="en-US"/>
        </w:rPr>
        <w:t>:</w:t>
      </w:r>
      <w:r w:rsidRPr="006E29F8">
        <w:rPr>
          <w:rFonts w:ascii="Noto Sans" w:eastAsiaTheme="majorEastAsia" w:hAnsi="Noto Sans" w:cstheme="majorBidi"/>
          <w:iCs/>
          <w:color w:val="000000" w:themeColor="text1"/>
          <w:szCs w:val="20"/>
          <w:u w:val="single"/>
          <w:lang w:val="de-AT" w:eastAsia="en-US"/>
        </w:rPr>
        <w:br/>
      </w:r>
    </w:p>
    <w:p w14:paraId="57015217" w14:textId="77777777" w:rsidR="001C1B16" w:rsidRPr="006E29F8" w:rsidRDefault="001C1B16" w:rsidP="001C1B16">
      <w:pPr>
        <w:pStyle w:val="Textkrper2"/>
        <w:spacing w:after="0" w:line="240" w:lineRule="auto"/>
        <w:ind w:right="29"/>
        <w:rPr>
          <w:rFonts w:ascii="Noto Sans" w:hAnsi="Noto Sans" w:cs="Noto Sans"/>
          <w:szCs w:val="20"/>
        </w:rPr>
      </w:pPr>
      <w:r w:rsidRPr="006E29F8">
        <w:rPr>
          <w:rFonts w:ascii="Noto Sans" w:hAnsi="Noto Sans" w:cs="Noto Sans"/>
          <w:szCs w:val="20"/>
        </w:rPr>
        <w:t>a1kommunikation Schweizer GmbH, Frau Kirsten Ludwig,</w:t>
      </w:r>
    </w:p>
    <w:p w14:paraId="68B71AD6" w14:textId="77777777" w:rsidR="001C1B16" w:rsidRPr="006E0DEF" w:rsidRDefault="001C1B16" w:rsidP="001C1B16">
      <w:pPr>
        <w:pStyle w:val="Textkrper2"/>
        <w:spacing w:after="0" w:line="240" w:lineRule="auto"/>
        <w:ind w:right="29"/>
        <w:rPr>
          <w:rStyle w:val="Hyperlink"/>
          <w:rFonts w:ascii="Noto Sans" w:hAnsi="Noto Sans" w:cs="Noto Sans"/>
          <w:bCs/>
        </w:rPr>
      </w:pPr>
      <w:proofErr w:type="spellStart"/>
      <w:r w:rsidRPr="006E29F8">
        <w:rPr>
          <w:rFonts w:ascii="Noto Sans" w:hAnsi="Noto Sans" w:cs="Noto Sans"/>
          <w:szCs w:val="20"/>
        </w:rPr>
        <w:t>Oberdorfstraße</w:t>
      </w:r>
      <w:proofErr w:type="spellEnd"/>
      <w:r w:rsidRPr="006E29F8">
        <w:rPr>
          <w:rFonts w:ascii="Noto Sans" w:hAnsi="Noto Sans" w:cs="Noto Sans"/>
          <w:szCs w:val="20"/>
        </w:rPr>
        <w:t xml:space="preserve"> </w:t>
      </w:r>
      <w:smartTag w:uri="urn:schemas-microsoft-com:office:smarttags" w:element="metricconverter">
        <w:smartTagPr>
          <w:attr w:name="ProductID" w:val="31 A"/>
        </w:smartTagPr>
        <w:r w:rsidRPr="006E29F8">
          <w:rPr>
            <w:rFonts w:ascii="Noto Sans" w:hAnsi="Noto Sans" w:cs="Noto Sans"/>
            <w:szCs w:val="20"/>
          </w:rPr>
          <w:t>31 A</w:t>
        </w:r>
      </w:smartTag>
      <w:r w:rsidRPr="006E29F8">
        <w:rPr>
          <w:rFonts w:ascii="Noto Sans" w:hAnsi="Noto Sans" w:cs="Noto Sans"/>
          <w:szCs w:val="20"/>
        </w:rPr>
        <w:t xml:space="preserve">, 70794 </w:t>
      </w:r>
      <w:proofErr w:type="spellStart"/>
      <w:r w:rsidRPr="006E29F8">
        <w:rPr>
          <w:rFonts w:ascii="Noto Sans" w:hAnsi="Noto Sans" w:cs="Noto Sans"/>
          <w:szCs w:val="20"/>
        </w:rPr>
        <w:t>Filderstadt</w:t>
      </w:r>
      <w:proofErr w:type="spellEnd"/>
      <w:r w:rsidRPr="006E29F8">
        <w:rPr>
          <w:rFonts w:ascii="Noto Sans" w:hAnsi="Noto Sans" w:cs="Noto Sans"/>
          <w:szCs w:val="20"/>
        </w:rPr>
        <w:t>, Deutschland</w:t>
      </w:r>
      <w:r w:rsidRPr="006E29F8">
        <w:rPr>
          <w:rFonts w:ascii="Noto Sans" w:hAnsi="Noto Sans" w:cs="Noto Sans"/>
          <w:szCs w:val="20"/>
        </w:rPr>
        <w:br/>
      </w:r>
      <w:r w:rsidRPr="006E0DEF">
        <w:rPr>
          <w:rFonts w:ascii="Noto Sans" w:hAnsi="Noto Sans" w:cs="Noto Sans" w:hint="eastAsia"/>
          <w:bCs/>
          <w:szCs w:val="20"/>
        </w:rPr>
        <w:t>電話番号：</w:t>
      </w:r>
      <w:r w:rsidRPr="006E0DEF">
        <w:rPr>
          <w:rFonts w:ascii="Noto Sans" w:hAnsi="Noto Sans" w:cs="Noto Sans"/>
          <w:bCs/>
          <w:szCs w:val="20"/>
        </w:rPr>
        <w:t>+49 0 711 9454161-20</w:t>
      </w:r>
      <w:r w:rsidRPr="006E0DEF">
        <w:rPr>
          <w:rFonts w:ascii="Noto Sans" w:hAnsi="Noto Sans" w:cs="Noto Sans" w:hint="eastAsia"/>
          <w:bCs/>
          <w:szCs w:val="20"/>
        </w:rPr>
        <w:t>、電子メールアドレス：</w:t>
      </w:r>
      <w:r w:rsidRPr="006E0DEF">
        <w:rPr>
          <w:rStyle w:val="Hyperlink"/>
        </w:rPr>
        <w:t>kirsten.ludwig@a1kommunikation.de</w:t>
      </w:r>
    </w:p>
    <w:p w14:paraId="538D85D1" w14:textId="77777777" w:rsidR="001C1B16" w:rsidRPr="006E0DEF" w:rsidRDefault="001C1B16" w:rsidP="001C1B16">
      <w:pPr>
        <w:rPr>
          <w:rStyle w:val="Hyperlink"/>
          <w:rFonts w:cs="Noto Sans"/>
          <w:bCs/>
          <w:lang w:val="x-none" w:eastAsia="zh-TW"/>
        </w:rPr>
      </w:pPr>
    </w:p>
    <w:p w14:paraId="7753895A" w14:textId="77777777" w:rsidR="001C1B16" w:rsidRPr="006E0DEF" w:rsidRDefault="001C1B16" w:rsidP="001C1B16">
      <w:pPr>
        <w:rPr>
          <w:rFonts w:cs="Arial"/>
          <w:szCs w:val="20"/>
        </w:rPr>
      </w:pPr>
      <w:r w:rsidRPr="006E0DEF">
        <w:rPr>
          <w:rFonts w:ascii="MS Gothic" w:eastAsia="MS Gothic" w:hAnsi="MS Gothic" w:cs="MS Gothic" w:hint="eastAsia"/>
          <w:szCs w:val="20"/>
        </w:rPr>
        <w:t>、その他の最新情報については、当社公式ブログ（</w:t>
      </w:r>
      <w:r w:rsidRPr="006E0DEF">
        <w:rPr>
          <w:rFonts w:cs="Arial"/>
          <w:szCs w:val="20"/>
        </w:rPr>
        <w:t>blog.perfectwelding.fronius.com</w:t>
      </w:r>
      <w:r w:rsidRPr="006E0DEF">
        <w:rPr>
          <w:rFonts w:ascii="MS Gothic" w:eastAsia="MS Gothic" w:hAnsi="MS Gothic" w:cs="MS Gothic" w:hint="eastAsia"/>
          <w:szCs w:val="20"/>
        </w:rPr>
        <w:t>）をご覧いただくか、</w:t>
      </w:r>
      <w:r>
        <w:rPr>
          <w:rFonts w:cs="Arial" w:hint="eastAsia"/>
          <w:szCs w:val="20"/>
        </w:rPr>
        <w:t xml:space="preserve"> </w:t>
      </w:r>
      <w:r w:rsidRPr="006E0DEF">
        <w:rPr>
          <w:rFonts w:cs="Arial" w:hint="eastAsia"/>
          <w:szCs w:val="20"/>
        </w:rPr>
        <w:t>Facebook (</w:t>
      </w:r>
      <w:proofErr w:type="spellStart"/>
      <w:r w:rsidRPr="006E0DEF">
        <w:rPr>
          <w:rFonts w:cs="Arial" w:hint="eastAsia"/>
          <w:szCs w:val="20"/>
        </w:rPr>
        <w:t>froniuswelding</w:t>
      </w:r>
      <w:proofErr w:type="spellEnd"/>
      <w:r w:rsidRPr="006E0DEF">
        <w:rPr>
          <w:rFonts w:cs="Arial" w:hint="eastAsia"/>
          <w:szCs w:val="20"/>
        </w:rPr>
        <w:t>)</w:t>
      </w:r>
      <w:r w:rsidRPr="006E0DEF">
        <w:rPr>
          <w:rFonts w:ascii="MS Gothic" w:eastAsia="MS Gothic" w:hAnsi="MS Gothic" w:cs="MS Gothic" w:hint="eastAsia"/>
          <w:szCs w:val="20"/>
        </w:rPr>
        <w:t>、</w:t>
      </w:r>
      <w:r w:rsidRPr="006E0DEF">
        <w:rPr>
          <w:rFonts w:cs="Arial" w:hint="eastAsia"/>
          <w:szCs w:val="20"/>
        </w:rPr>
        <w:t>Twitter (</w:t>
      </w:r>
      <w:proofErr w:type="spellStart"/>
      <w:r w:rsidRPr="006E0DEF">
        <w:rPr>
          <w:rFonts w:cs="Arial" w:hint="eastAsia"/>
          <w:szCs w:val="20"/>
        </w:rPr>
        <w:t>froniusintweld</w:t>
      </w:r>
      <w:proofErr w:type="spellEnd"/>
      <w:r w:rsidRPr="006E0DEF">
        <w:rPr>
          <w:rFonts w:cs="Arial" w:hint="eastAsia"/>
          <w:szCs w:val="20"/>
        </w:rPr>
        <w:t>)</w:t>
      </w:r>
      <w:r w:rsidRPr="006E0DEF">
        <w:rPr>
          <w:rFonts w:ascii="MS Gothic" w:eastAsia="MS Gothic" w:hAnsi="MS Gothic" w:cs="MS Gothic" w:hint="eastAsia"/>
          <w:szCs w:val="20"/>
        </w:rPr>
        <w:t>、</w:t>
      </w:r>
      <w:r w:rsidRPr="006E0DEF">
        <w:rPr>
          <w:rFonts w:cs="Arial" w:hint="eastAsia"/>
          <w:szCs w:val="20"/>
        </w:rPr>
        <w:t>LinkedIn (perfect-welding)</w:t>
      </w:r>
      <w:r w:rsidRPr="006E0DEF">
        <w:rPr>
          <w:rFonts w:ascii="MS Gothic" w:eastAsia="MS Gothic" w:hAnsi="MS Gothic" w:cs="MS Gothic" w:hint="eastAsia"/>
          <w:szCs w:val="20"/>
        </w:rPr>
        <w:t>、</w:t>
      </w:r>
      <w:r w:rsidRPr="006E0DEF">
        <w:rPr>
          <w:rFonts w:cs="Arial"/>
          <w:szCs w:val="20"/>
        </w:rPr>
        <w:t>Instagram (</w:t>
      </w:r>
      <w:proofErr w:type="spellStart"/>
      <w:r w:rsidRPr="006E0DEF">
        <w:rPr>
          <w:rFonts w:cs="Arial"/>
          <w:szCs w:val="20"/>
        </w:rPr>
        <w:t>froniuswelding</w:t>
      </w:r>
      <w:proofErr w:type="spellEnd"/>
      <w:r w:rsidRPr="006E0DEF">
        <w:rPr>
          <w:rFonts w:cs="Arial"/>
          <w:szCs w:val="20"/>
        </w:rPr>
        <w:t>)</w:t>
      </w:r>
      <w:r w:rsidRPr="006E0DEF">
        <w:rPr>
          <w:rFonts w:ascii="MS Gothic" w:eastAsia="MS Gothic" w:hAnsi="MS Gothic" w:cs="MS Gothic" w:hint="eastAsia"/>
          <w:szCs w:val="20"/>
        </w:rPr>
        <w:t>、</w:t>
      </w:r>
      <w:r w:rsidRPr="006E0DEF">
        <w:rPr>
          <w:rFonts w:cs="Arial"/>
          <w:szCs w:val="20"/>
        </w:rPr>
        <w:t>YouTube (</w:t>
      </w:r>
      <w:proofErr w:type="spellStart"/>
      <w:r w:rsidRPr="006E0DEF">
        <w:rPr>
          <w:rFonts w:cs="Arial"/>
          <w:szCs w:val="20"/>
        </w:rPr>
        <w:t>froniuswelding</w:t>
      </w:r>
      <w:proofErr w:type="spellEnd"/>
      <w:r w:rsidRPr="006E0DEF">
        <w:rPr>
          <w:rFonts w:cs="Arial"/>
          <w:szCs w:val="20"/>
        </w:rPr>
        <w:t>)</w:t>
      </w:r>
      <w:r w:rsidRPr="006E0DEF">
        <w:rPr>
          <w:rFonts w:ascii="MS Gothic" w:eastAsia="MS Gothic" w:hAnsi="MS Gothic" w:cs="MS Gothic" w:hint="eastAsia"/>
          <w:szCs w:val="20"/>
        </w:rPr>
        <w:t>をフォローしてください！</w:t>
      </w:r>
    </w:p>
    <w:p w14:paraId="092E7976" w14:textId="77777777" w:rsidR="001C1B16" w:rsidRPr="00D72904" w:rsidRDefault="001C1B16" w:rsidP="000A1D14">
      <w:pPr>
        <w:rPr>
          <w:sz w:val="16"/>
          <w:szCs w:val="16"/>
        </w:rPr>
      </w:pPr>
    </w:p>
    <w:sectPr w:rsidR="001C1B16" w:rsidRPr="00D72904">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DB7BD" w14:textId="77777777" w:rsidR="00851FC3" w:rsidRDefault="00851FC3" w:rsidP="00B54547">
      <w:pPr>
        <w:spacing w:after="0" w:line="240" w:lineRule="auto"/>
      </w:pPr>
      <w:r>
        <w:separator/>
      </w:r>
    </w:p>
  </w:endnote>
  <w:endnote w:type="continuationSeparator" w:id="0">
    <w:p w14:paraId="74177CB0" w14:textId="77777777" w:rsidR="00851FC3" w:rsidRDefault="00851FC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Yu Gothic"/>
    <w:panose1 w:val="02020609040205080304"/>
    <w:charset w:val="80"/>
    <w:family w:val="roman"/>
    <w:notTrueType/>
    <w:pitch w:val="fixed"/>
    <w:sig w:usb0="00000000" w:usb1="08070000" w:usb2="00000010" w:usb3="00000000" w:csb0="00020000" w:csb1="00000000"/>
  </w:font>
  <w:font w:name="Noto Sans">
    <w:panose1 w:val="020B0502040504020204"/>
    <w:charset w:val="00"/>
    <w:family w:val="swiss"/>
    <w:pitch w:val="variable"/>
    <w:sig w:usb0="E00082FF" w:usb1="400078FF" w:usb2="08000029"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F66F6" w14:textId="77777777" w:rsidR="00B54547" w:rsidRDefault="00B54547">
    <w:pPr>
      <w:pStyle w:val="Fuzeile"/>
    </w:pPr>
    <w:r>
      <w:rPr>
        <w:rFonts w:hint="eastAsia"/>
        <w:noProof/>
      </w:rPr>
      <mc:AlternateContent>
        <mc:Choice Requires="wps">
          <w:drawing>
            <wp:anchor distT="0" distB="0" distL="114300" distR="114300" simplePos="0" relativeHeight="251659264" behindDoc="0" locked="1" layoutInCell="1" allowOverlap="1" wp14:anchorId="3996A285" wp14:editId="62E59916">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1D2ED9DB" w14:textId="4CDFAAF8" w:rsidR="00B54547" w:rsidRPr="003D4817" w:rsidRDefault="00B54547" w:rsidP="00B54547">
                          <w:pPr>
                            <w:spacing w:after="0" w:line="293" w:lineRule="auto"/>
                            <w:rPr>
                              <w:rFonts w:cs="Noto Sans"/>
                              <w:sz w:val="12"/>
                              <w:szCs w:val="12"/>
                            </w:rPr>
                          </w:pPr>
                          <w:r>
                            <w:rPr>
                              <w:rFonts w:hint="eastAsia"/>
                              <w:sz w:val="12"/>
                            </w:rPr>
                            <w:t>情報クラス：公開</w:t>
                          </w:r>
                        </w:p>
                        <w:p w14:paraId="29685983"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96A285"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1D2ED9DB" w14:textId="4CDFAAF8" w:rsidR="00B54547" w:rsidRPr="003D4817" w:rsidRDefault="00B54547" w:rsidP="00B54547">
                    <w:pPr>
                      <w:spacing w:after="0" w:line="293" w:lineRule="auto"/>
                      <w:rPr>
                        <w:rFonts w:cs="Noto Sans"/>
                        <w:sz w:val="12"/>
                        <w:szCs w:val="12"/>
                      </w:rPr>
                    </w:pPr>
                    <w:r>
                      <w:rPr>
                        <w:rFonts w:hint="eastAsia"/>
                        <w:sz w:val="12"/>
                      </w:rPr>
                      <w:t>情報クラス：公開</w:t>
                    </w:r>
                  </w:p>
                  <w:p w14:paraId="29685983"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E8969" w14:textId="77777777" w:rsidR="00851FC3" w:rsidRDefault="00851FC3" w:rsidP="00B54547">
      <w:pPr>
        <w:spacing w:after="0" w:line="240" w:lineRule="auto"/>
      </w:pPr>
      <w:r>
        <w:separator/>
      </w:r>
    </w:p>
  </w:footnote>
  <w:footnote w:type="continuationSeparator" w:id="0">
    <w:p w14:paraId="711923FC" w14:textId="77777777" w:rsidR="00851FC3" w:rsidRDefault="00851FC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1DAD4" w14:textId="77777777" w:rsidR="00C921A2" w:rsidRDefault="00C921A2">
    <w:pPr>
      <w:pStyle w:val="Kopfzeile"/>
    </w:pPr>
    <w:r>
      <w:rPr>
        <w:rFonts w:hint="eastAsia"/>
        <w:noProof/>
      </w:rPr>
      <w:drawing>
        <wp:anchor distT="0" distB="0" distL="114300" distR="114300" simplePos="0" relativeHeight="251661312" behindDoc="1" locked="0" layoutInCell="1" allowOverlap="1" wp14:anchorId="7F573ED2" wp14:editId="5111F952">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9740518">
    <w:abstractNumId w:val="7"/>
  </w:num>
  <w:num w:numId="2" w16cid:durableId="844438473">
    <w:abstractNumId w:val="0"/>
  </w:num>
  <w:num w:numId="3" w16cid:durableId="1688829700">
    <w:abstractNumId w:val="4"/>
  </w:num>
  <w:num w:numId="4" w16cid:durableId="1523207691">
    <w:abstractNumId w:val="6"/>
  </w:num>
  <w:num w:numId="5" w16cid:durableId="397169780">
    <w:abstractNumId w:val="5"/>
  </w:num>
  <w:num w:numId="6" w16cid:durableId="1164278810">
    <w:abstractNumId w:val="1"/>
  </w:num>
  <w:num w:numId="7" w16cid:durableId="694766797">
    <w:abstractNumId w:val="3"/>
  </w:num>
  <w:num w:numId="8" w16cid:durableId="2818824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A8"/>
    <w:rsid w:val="00004456"/>
    <w:rsid w:val="00005F43"/>
    <w:rsid w:val="00006F4A"/>
    <w:rsid w:val="00010EF0"/>
    <w:rsid w:val="000168F1"/>
    <w:rsid w:val="00020A21"/>
    <w:rsid w:val="00030C3B"/>
    <w:rsid w:val="000321DE"/>
    <w:rsid w:val="00037DBF"/>
    <w:rsid w:val="00040B16"/>
    <w:rsid w:val="00051983"/>
    <w:rsid w:val="00063D58"/>
    <w:rsid w:val="00094ED0"/>
    <w:rsid w:val="000A1BA3"/>
    <w:rsid w:val="000A1D14"/>
    <w:rsid w:val="000A5E46"/>
    <w:rsid w:val="000B0373"/>
    <w:rsid w:val="000B4D77"/>
    <w:rsid w:val="000C22A5"/>
    <w:rsid w:val="000D55D2"/>
    <w:rsid w:val="000E083F"/>
    <w:rsid w:val="000E17BD"/>
    <w:rsid w:val="000E28DA"/>
    <w:rsid w:val="000F5A0C"/>
    <w:rsid w:val="000F78A0"/>
    <w:rsid w:val="00102F0B"/>
    <w:rsid w:val="00107B1F"/>
    <w:rsid w:val="00111229"/>
    <w:rsid w:val="00113E92"/>
    <w:rsid w:val="001402CA"/>
    <w:rsid w:val="001423B2"/>
    <w:rsid w:val="00163EA5"/>
    <w:rsid w:val="001668E3"/>
    <w:rsid w:val="00185960"/>
    <w:rsid w:val="0018732B"/>
    <w:rsid w:val="00196F99"/>
    <w:rsid w:val="0019794B"/>
    <w:rsid w:val="001A32A6"/>
    <w:rsid w:val="001A34C4"/>
    <w:rsid w:val="001A3CE4"/>
    <w:rsid w:val="001A6DAD"/>
    <w:rsid w:val="001B1DF0"/>
    <w:rsid w:val="001C07F7"/>
    <w:rsid w:val="001C1B16"/>
    <w:rsid w:val="001C24E6"/>
    <w:rsid w:val="001C3912"/>
    <w:rsid w:val="001C6185"/>
    <w:rsid w:val="001D1AD6"/>
    <w:rsid w:val="001D3D41"/>
    <w:rsid w:val="001E1347"/>
    <w:rsid w:val="001E7E14"/>
    <w:rsid w:val="00202D38"/>
    <w:rsid w:val="00213F29"/>
    <w:rsid w:val="00217F62"/>
    <w:rsid w:val="002234FD"/>
    <w:rsid w:val="002252AA"/>
    <w:rsid w:val="00242A8C"/>
    <w:rsid w:val="0024308B"/>
    <w:rsid w:val="002447E6"/>
    <w:rsid w:val="0025158F"/>
    <w:rsid w:val="00262911"/>
    <w:rsid w:val="002632BD"/>
    <w:rsid w:val="00282219"/>
    <w:rsid w:val="00287B90"/>
    <w:rsid w:val="00295756"/>
    <w:rsid w:val="002B4266"/>
    <w:rsid w:val="002B5E48"/>
    <w:rsid w:val="002D2ADB"/>
    <w:rsid w:val="002D356A"/>
    <w:rsid w:val="002D549D"/>
    <w:rsid w:val="002D7A44"/>
    <w:rsid w:val="002E4785"/>
    <w:rsid w:val="002E47CA"/>
    <w:rsid w:val="0030305E"/>
    <w:rsid w:val="0033087C"/>
    <w:rsid w:val="003348D7"/>
    <w:rsid w:val="003405C8"/>
    <w:rsid w:val="00342F02"/>
    <w:rsid w:val="00347F75"/>
    <w:rsid w:val="003534DD"/>
    <w:rsid w:val="003644E8"/>
    <w:rsid w:val="00383133"/>
    <w:rsid w:val="003867A8"/>
    <w:rsid w:val="003A5109"/>
    <w:rsid w:val="003A7B60"/>
    <w:rsid w:val="003C527B"/>
    <w:rsid w:val="003E4FCD"/>
    <w:rsid w:val="003E6855"/>
    <w:rsid w:val="003F46E1"/>
    <w:rsid w:val="003F4723"/>
    <w:rsid w:val="0040135D"/>
    <w:rsid w:val="00403C78"/>
    <w:rsid w:val="00410DBE"/>
    <w:rsid w:val="00413D18"/>
    <w:rsid w:val="00421AA4"/>
    <w:rsid w:val="00424297"/>
    <w:rsid w:val="00426D9E"/>
    <w:rsid w:val="00427CCD"/>
    <w:rsid w:val="00441FD3"/>
    <w:rsid w:val="004638AE"/>
    <w:rsid w:val="00464063"/>
    <w:rsid w:val="00470EC6"/>
    <w:rsid w:val="00474FDE"/>
    <w:rsid w:val="004861B1"/>
    <w:rsid w:val="004961AF"/>
    <w:rsid w:val="004B4D67"/>
    <w:rsid w:val="004B6377"/>
    <w:rsid w:val="004B76E9"/>
    <w:rsid w:val="004C1EB8"/>
    <w:rsid w:val="004C23C0"/>
    <w:rsid w:val="004D67DC"/>
    <w:rsid w:val="00500D1D"/>
    <w:rsid w:val="00501EF4"/>
    <w:rsid w:val="00512C4C"/>
    <w:rsid w:val="005229B7"/>
    <w:rsid w:val="005303EF"/>
    <w:rsid w:val="005631B2"/>
    <w:rsid w:val="00567F92"/>
    <w:rsid w:val="0057034C"/>
    <w:rsid w:val="00574B56"/>
    <w:rsid w:val="00582BF5"/>
    <w:rsid w:val="00591994"/>
    <w:rsid w:val="00595429"/>
    <w:rsid w:val="00595F44"/>
    <w:rsid w:val="005A26BF"/>
    <w:rsid w:val="005A6676"/>
    <w:rsid w:val="005B7347"/>
    <w:rsid w:val="005C0516"/>
    <w:rsid w:val="005C58DA"/>
    <w:rsid w:val="005D2D41"/>
    <w:rsid w:val="005D3BF5"/>
    <w:rsid w:val="005D4E7F"/>
    <w:rsid w:val="005E565C"/>
    <w:rsid w:val="00600B5E"/>
    <w:rsid w:val="00602859"/>
    <w:rsid w:val="00610D90"/>
    <w:rsid w:val="00611A2E"/>
    <w:rsid w:val="00614BAD"/>
    <w:rsid w:val="00643365"/>
    <w:rsid w:val="006471B1"/>
    <w:rsid w:val="0065259F"/>
    <w:rsid w:val="006566C0"/>
    <w:rsid w:val="006636D8"/>
    <w:rsid w:val="006669DE"/>
    <w:rsid w:val="00667E19"/>
    <w:rsid w:val="00670789"/>
    <w:rsid w:val="00670F02"/>
    <w:rsid w:val="00677069"/>
    <w:rsid w:val="00684247"/>
    <w:rsid w:val="00695441"/>
    <w:rsid w:val="006D184C"/>
    <w:rsid w:val="006D2AEF"/>
    <w:rsid w:val="006D6430"/>
    <w:rsid w:val="006E6EA5"/>
    <w:rsid w:val="0070203B"/>
    <w:rsid w:val="00702F87"/>
    <w:rsid w:val="00703F47"/>
    <w:rsid w:val="00712D1B"/>
    <w:rsid w:val="00735D91"/>
    <w:rsid w:val="00751D9D"/>
    <w:rsid w:val="00754E42"/>
    <w:rsid w:val="007748AE"/>
    <w:rsid w:val="007806B3"/>
    <w:rsid w:val="007860F0"/>
    <w:rsid w:val="00790802"/>
    <w:rsid w:val="007A57E3"/>
    <w:rsid w:val="007B2E32"/>
    <w:rsid w:val="007C1256"/>
    <w:rsid w:val="007C556E"/>
    <w:rsid w:val="007C61B7"/>
    <w:rsid w:val="007E1DD0"/>
    <w:rsid w:val="007E3520"/>
    <w:rsid w:val="00800F96"/>
    <w:rsid w:val="00801172"/>
    <w:rsid w:val="008046EC"/>
    <w:rsid w:val="008165DA"/>
    <w:rsid w:val="00816914"/>
    <w:rsid w:val="00821EA8"/>
    <w:rsid w:val="00831633"/>
    <w:rsid w:val="00833768"/>
    <w:rsid w:val="008404EE"/>
    <w:rsid w:val="00850823"/>
    <w:rsid w:val="00851FC3"/>
    <w:rsid w:val="00862749"/>
    <w:rsid w:val="00865737"/>
    <w:rsid w:val="00870250"/>
    <w:rsid w:val="00875FDF"/>
    <w:rsid w:val="008824FF"/>
    <w:rsid w:val="00897CFC"/>
    <w:rsid w:val="008A71CE"/>
    <w:rsid w:val="008C1B26"/>
    <w:rsid w:val="008E1774"/>
    <w:rsid w:val="008F03BF"/>
    <w:rsid w:val="008F1F5D"/>
    <w:rsid w:val="008F4ED5"/>
    <w:rsid w:val="009055A0"/>
    <w:rsid w:val="00906679"/>
    <w:rsid w:val="009073C3"/>
    <w:rsid w:val="00911090"/>
    <w:rsid w:val="0093522A"/>
    <w:rsid w:val="00935F13"/>
    <w:rsid w:val="00953632"/>
    <w:rsid w:val="0095424A"/>
    <w:rsid w:val="0096295E"/>
    <w:rsid w:val="00962B6D"/>
    <w:rsid w:val="00963BB4"/>
    <w:rsid w:val="009725DD"/>
    <w:rsid w:val="00974154"/>
    <w:rsid w:val="00981A71"/>
    <w:rsid w:val="00981D54"/>
    <w:rsid w:val="009A29B9"/>
    <w:rsid w:val="009C4F27"/>
    <w:rsid w:val="009C5D53"/>
    <w:rsid w:val="009F379D"/>
    <w:rsid w:val="00A00B78"/>
    <w:rsid w:val="00A21A0A"/>
    <w:rsid w:val="00A37F4D"/>
    <w:rsid w:val="00A402FB"/>
    <w:rsid w:val="00A57B39"/>
    <w:rsid w:val="00A6103E"/>
    <w:rsid w:val="00A66F74"/>
    <w:rsid w:val="00A83CB2"/>
    <w:rsid w:val="00A86AF7"/>
    <w:rsid w:val="00A91752"/>
    <w:rsid w:val="00AB3F92"/>
    <w:rsid w:val="00AC61C5"/>
    <w:rsid w:val="00AE1884"/>
    <w:rsid w:val="00AE3655"/>
    <w:rsid w:val="00AE46C2"/>
    <w:rsid w:val="00AE64BA"/>
    <w:rsid w:val="00AE6A12"/>
    <w:rsid w:val="00AE7975"/>
    <w:rsid w:val="00AE7F4F"/>
    <w:rsid w:val="00AF37AA"/>
    <w:rsid w:val="00B13C7F"/>
    <w:rsid w:val="00B23769"/>
    <w:rsid w:val="00B30140"/>
    <w:rsid w:val="00B309A8"/>
    <w:rsid w:val="00B410EE"/>
    <w:rsid w:val="00B52F2E"/>
    <w:rsid w:val="00B54547"/>
    <w:rsid w:val="00B5716C"/>
    <w:rsid w:val="00B82705"/>
    <w:rsid w:val="00B86CB0"/>
    <w:rsid w:val="00B90E2E"/>
    <w:rsid w:val="00B93643"/>
    <w:rsid w:val="00B97F51"/>
    <w:rsid w:val="00BA16FF"/>
    <w:rsid w:val="00BA438C"/>
    <w:rsid w:val="00BB2F45"/>
    <w:rsid w:val="00BB62EC"/>
    <w:rsid w:val="00BC1FB3"/>
    <w:rsid w:val="00BC489D"/>
    <w:rsid w:val="00BD4F82"/>
    <w:rsid w:val="00C01156"/>
    <w:rsid w:val="00C014FD"/>
    <w:rsid w:val="00C0625F"/>
    <w:rsid w:val="00C07F34"/>
    <w:rsid w:val="00C36B08"/>
    <w:rsid w:val="00C42338"/>
    <w:rsid w:val="00C44B9C"/>
    <w:rsid w:val="00C4505E"/>
    <w:rsid w:val="00C46F42"/>
    <w:rsid w:val="00C479EA"/>
    <w:rsid w:val="00C734D4"/>
    <w:rsid w:val="00C778FB"/>
    <w:rsid w:val="00C87EB3"/>
    <w:rsid w:val="00C921A2"/>
    <w:rsid w:val="00C96A8D"/>
    <w:rsid w:val="00CA72D2"/>
    <w:rsid w:val="00CB1448"/>
    <w:rsid w:val="00CC0612"/>
    <w:rsid w:val="00CC3A48"/>
    <w:rsid w:val="00CD3BB8"/>
    <w:rsid w:val="00CF2DF6"/>
    <w:rsid w:val="00CF30B9"/>
    <w:rsid w:val="00CF627E"/>
    <w:rsid w:val="00D0522E"/>
    <w:rsid w:val="00D1435C"/>
    <w:rsid w:val="00D408D5"/>
    <w:rsid w:val="00D53259"/>
    <w:rsid w:val="00D60684"/>
    <w:rsid w:val="00D60DF2"/>
    <w:rsid w:val="00D6253C"/>
    <w:rsid w:val="00D66292"/>
    <w:rsid w:val="00D72904"/>
    <w:rsid w:val="00D76B95"/>
    <w:rsid w:val="00D77E57"/>
    <w:rsid w:val="00D850CB"/>
    <w:rsid w:val="00D909BD"/>
    <w:rsid w:val="00DA0195"/>
    <w:rsid w:val="00DA07DA"/>
    <w:rsid w:val="00DA575F"/>
    <w:rsid w:val="00DA5D9B"/>
    <w:rsid w:val="00DB5594"/>
    <w:rsid w:val="00DD6DDA"/>
    <w:rsid w:val="00DD716F"/>
    <w:rsid w:val="00DE201A"/>
    <w:rsid w:val="00DF5290"/>
    <w:rsid w:val="00DF60FE"/>
    <w:rsid w:val="00E0391A"/>
    <w:rsid w:val="00E11852"/>
    <w:rsid w:val="00E15280"/>
    <w:rsid w:val="00E2270E"/>
    <w:rsid w:val="00E2697C"/>
    <w:rsid w:val="00E44E89"/>
    <w:rsid w:val="00E50B60"/>
    <w:rsid w:val="00E5750E"/>
    <w:rsid w:val="00E57EC4"/>
    <w:rsid w:val="00E7326B"/>
    <w:rsid w:val="00E815AC"/>
    <w:rsid w:val="00E94C16"/>
    <w:rsid w:val="00EA24D5"/>
    <w:rsid w:val="00EA26EC"/>
    <w:rsid w:val="00EC35B2"/>
    <w:rsid w:val="00ED2F74"/>
    <w:rsid w:val="00ED31E8"/>
    <w:rsid w:val="00EF2A8D"/>
    <w:rsid w:val="00F15471"/>
    <w:rsid w:val="00F27BFC"/>
    <w:rsid w:val="00F603CC"/>
    <w:rsid w:val="00F6471F"/>
    <w:rsid w:val="00F868F2"/>
    <w:rsid w:val="00F91870"/>
    <w:rsid w:val="00FA0F60"/>
    <w:rsid w:val="00FB1EB7"/>
    <w:rsid w:val="00FD0EE7"/>
    <w:rsid w:val="00FD47F0"/>
    <w:rsid w:val="00FD50E0"/>
    <w:rsid w:val="00FE3F42"/>
    <w:rsid w:val="00FE68EE"/>
    <w:rsid w:val="00FF104B"/>
    <w:rsid w:val="00FF1BE6"/>
    <w:rsid w:val="00FF47D6"/>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59F98B76"/>
  <w15:chartTrackingRefBased/>
  <w15:docId w15:val="{455954F3-5B22-4263-8EA3-E085399F6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C1256"/>
    <w:rPr>
      <w:rFonts w:ascii="Noto Sans" w:eastAsia="MS Mincho" w:hAnsi="Noto Sans"/>
      <w:sz w:val="20"/>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19794B"/>
    <w:pPr>
      <w:keepNext/>
      <w:keepLines/>
      <w:spacing w:before="12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eastAsia="MS Mincho"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19794B"/>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eastAsia="MS Mincho"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eastAsia="MS Mincho"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eastAsia="MS Mincho"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eastAsia="MS Mincho"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25158F"/>
    <w:rPr>
      <w:color w:val="0563C1" w:themeColor="hyperlink"/>
      <w:u w:val="single"/>
    </w:rPr>
  </w:style>
  <w:style w:type="paragraph" w:styleId="Kommentartext">
    <w:name w:val="annotation text"/>
    <w:basedOn w:val="Standard"/>
    <w:link w:val="KommentartextZchn"/>
    <w:uiPriority w:val="99"/>
    <w:rsid w:val="0025158F"/>
    <w:pPr>
      <w:spacing w:after="0" w:line="240" w:lineRule="auto"/>
    </w:pPr>
    <w:rPr>
      <w:rFonts w:ascii="Arial" w:hAnsi="Arial" w:cs="Times New Roman"/>
      <w:szCs w:val="20"/>
    </w:rPr>
  </w:style>
  <w:style w:type="character" w:customStyle="1" w:styleId="KommentartextZchn">
    <w:name w:val="Kommentartext Zchn"/>
    <w:basedOn w:val="Absatz-Standardschriftart"/>
    <w:link w:val="Kommentartext"/>
    <w:uiPriority w:val="99"/>
    <w:rsid w:val="0025158F"/>
    <w:rPr>
      <w:rFonts w:ascii="Arial" w:eastAsia="MS Mincho" w:hAnsi="Arial" w:cs="Times New Roman"/>
      <w:sz w:val="20"/>
      <w:szCs w:val="20"/>
      <w:lang w:val="en-US" w:eastAsia="ja-JP"/>
    </w:rPr>
  </w:style>
  <w:style w:type="character" w:styleId="Kommentarzeichen">
    <w:name w:val="annotation reference"/>
    <w:basedOn w:val="Absatz-Standardschriftart"/>
    <w:uiPriority w:val="99"/>
    <w:semiHidden/>
    <w:unhideWhenUsed/>
    <w:rsid w:val="002234FD"/>
    <w:rPr>
      <w:sz w:val="16"/>
      <w:szCs w:val="16"/>
    </w:rPr>
  </w:style>
  <w:style w:type="paragraph" w:styleId="Kommentarthema">
    <w:name w:val="annotation subject"/>
    <w:basedOn w:val="Kommentartext"/>
    <w:next w:val="Kommentartext"/>
    <w:link w:val="KommentarthemaZchn"/>
    <w:uiPriority w:val="99"/>
    <w:semiHidden/>
    <w:unhideWhenUsed/>
    <w:rsid w:val="002234FD"/>
    <w:pPr>
      <w:spacing w:after="160"/>
    </w:pPr>
    <w:rPr>
      <w:rFonts w:ascii="Noto Sans" w:eastAsiaTheme="minorHAnsi" w:hAnsi="Noto Sans" w:cstheme="minorBidi"/>
      <w:b/>
      <w:bCs/>
    </w:rPr>
  </w:style>
  <w:style w:type="character" w:customStyle="1" w:styleId="KommentarthemaZchn">
    <w:name w:val="Kommentarthema Zchn"/>
    <w:basedOn w:val="KommentartextZchn"/>
    <w:link w:val="Kommentarthema"/>
    <w:uiPriority w:val="99"/>
    <w:semiHidden/>
    <w:rsid w:val="002234FD"/>
    <w:rPr>
      <w:rFonts w:ascii="Noto Sans" w:eastAsia="MS Mincho" w:hAnsi="Noto Sans" w:cs="Times New Roman"/>
      <w:b/>
      <w:bCs/>
      <w:sz w:val="20"/>
      <w:szCs w:val="20"/>
      <w:lang w:val="en-US" w:eastAsia="ja-JP"/>
    </w:rPr>
  </w:style>
  <w:style w:type="paragraph" w:styleId="Sprechblasentext">
    <w:name w:val="Balloon Text"/>
    <w:basedOn w:val="Standard"/>
    <w:link w:val="SprechblasentextZchn"/>
    <w:uiPriority w:val="99"/>
    <w:semiHidden/>
    <w:unhideWhenUsed/>
    <w:rsid w:val="004638A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638AE"/>
    <w:rPr>
      <w:rFonts w:ascii="Segoe UI" w:eastAsia="MS Mincho" w:hAnsi="Segoe UI" w:cs="Segoe UI"/>
      <w:sz w:val="18"/>
      <w:szCs w:val="18"/>
    </w:rPr>
  </w:style>
  <w:style w:type="paragraph" w:styleId="berarbeitung">
    <w:name w:val="Revision"/>
    <w:hidden/>
    <w:uiPriority w:val="99"/>
    <w:semiHidden/>
    <w:rsid w:val="00610D90"/>
    <w:pPr>
      <w:spacing w:after="0" w:line="240" w:lineRule="auto"/>
    </w:pPr>
    <w:rPr>
      <w:rFonts w:ascii="Noto Sans" w:eastAsia="MS Mincho" w:hAnsi="Noto Sans"/>
    </w:rPr>
  </w:style>
  <w:style w:type="table" w:styleId="Tabellenraster">
    <w:name w:val="Table Grid"/>
    <w:basedOn w:val="NormaleTabelle"/>
    <w:uiPriority w:val="39"/>
    <w:rsid w:val="001423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0F5A0C"/>
    <w:rPr>
      <w:color w:val="954F72" w:themeColor="followedHyperlink"/>
      <w:u w:val="single"/>
    </w:rPr>
  </w:style>
  <w:style w:type="paragraph" w:styleId="Textkrper2">
    <w:name w:val="Body Text 2"/>
    <w:basedOn w:val="Standard"/>
    <w:link w:val="Textkrper2Zchn"/>
    <w:rsid w:val="005E565C"/>
    <w:pPr>
      <w:spacing w:after="120" w:line="480" w:lineRule="auto"/>
    </w:pPr>
    <w:rPr>
      <w:rFonts w:ascii="Arial" w:hAnsi="Arial" w:cs="Times New Roman"/>
      <w:szCs w:val="24"/>
    </w:rPr>
  </w:style>
  <w:style w:type="character" w:customStyle="1" w:styleId="Textkrper2Zchn">
    <w:name w:val="Textkörper 2 Zchn"/>
    <w:basedOn w:val="Absatz-Standardschriftart"/>
    <w:link w:val="Textkrper2"/>
    <w:rsid w:val="005E565C"/>
    <w:rPr>
      <w:rFonts w:ascii="Arial" w:eastAsia="MS Mincho" w:hAnsi="Arial" w:cs="Times New Roman"/>
      <w:sz w:val="20"/>
      <w:szCs w:val="24"/>
      <w:lang w:val="en-US" w:eastAsia="ja-JP"/>
    </w:rPr>
  </w:style>
  <w:style w:type="paragraph" w:styleId="StandardWeb">
    <w:name w:val="Normal (Web)"/>
    <w:basedOn w:val="Standard"/>
    <w:uiPriority w:val="99"/>
    <w:unhideWhenUsed/>
    <w:rsid w:val="001C1B16"/>
    <w:pPr>
      <w:spacing w:before="100" w:beforeAutospacing="1" w:after="100" w:afterAutospacing="1" w:line="240" w:lineRule="auto"/>
    </w:pPr>
    <w:rPr>
      <w:rFonts w:ascii="Times New Roman" w:eastAsia="Times New Roman" w:hAnsi="Times New Roman" w:cs="Times New Roman"/>
      <w:sz w:val="24"/>
      <w:szCs w:val="24"/>
      <w:lang w:val="de-AT"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140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ja-jp/japan/perfect-welding" TargetMode="Externa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MS Mincho"/>
        <a:cs typeface=""/>
      </a:majorFont>
      <a:minorFont>
        <a:latin typeface="Calibri" panose="020F0502020204030204"/>
        <a:ea typeface="MS Mincho"/>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#JA</TermName>
          <TermId xmlns="http://schemas.microsoft.com/office/infopath/2007/PartnerControls">1e5504a8-1e26-4690-80ea-a978882a45ce</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25</Value>
    </Country>
    <fro_spid xmlns="dc0c2c3d-e9fc-4a0d-820b-87ab82e65f20">17941;SE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C-138911</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272</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#Automation#CMT#Cladding#Presseinformation#Fakop#cladding#Press release#automation#cmt#presseinformation#pressrelease#fakop#</MRMKeyWords>
    <title_ti_zh xmlns="dc0c2c3d-e9fc-4a0d-820b-87ab82e65f20">Fakop</title_ti_zh>
    <MRMID xmlns="dc0c2c3d-e9fc-4a0d-820b-87ab82e65f20">M-194253</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F8B86253-C24C-4487-BD16-8717EF3A8420}">
  <ds:schemaRefs>
    <ds:schemaRef ds:uri="http://schemas.openxmlformats.org/officeDocument/2006/bibliography"/>
  </ds:schemaRefs>
</ds:datastoreItem>
</file>

<file path=customXml/itemProps2.xml><?xml version="1.0" encoding="utf-8"?>
<ds:datastoreItem xmlns:ds="http://schemas.openxmlformats.org/officeDocument/2006/customXml" ds:itemID="{DE8DD1D6-A927-453C-8D56-28F09BAEBCC7}"/>
</file>

<file path=customXml/itemProps3.xml><?xml version="1.0" encoding="utf-8"?>
<ds:datastoreItem xmlns:ds="http://schemas.openxmlformats.org/officeDocument/2006/customXml" ds:itemID="{9E8ECA58-AD11-4844-9046-6533587884EB}"/>
</file>

<file path=customXml/itemProps4.xml><?xml version="1.0" encoding="utf-8"?>
<ds:datastoreItem xmlns:ds="http://schemas.openxmlformats.org/officeDocument/2006/customXml" ds:itemID="{59043A63-9350-4110-8302-D5ABFE1F06EE}"/>
</file>

<file path=customXml/itemProps5.xml><?xml version="1.0" encoding="utf-8"?>
<ds:datastoreItem xmlns:ds="http://schemas.openxmlformats.org/officeDocument/2006/customXml" ds:itemID="{EA0EEFD6-87AD-4296-8C4A-63374BC9B218}"/>
</file>

<file path=customXml/itemProps6.xml><?xml version="1.0" encoding="utf-8"?>
<ds:datastoreItem xmlns:ds="http://schemas.openxmlformats.org/officeDocument/2006/customXml" ds:itemID="{734A429F-3A65-421C-A7DD-1047290186FF}"/>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655</Words>
  <Characters>4130</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PW_PR_Fakop_JA</dc:title>
  <dc:subject/>
  <dc:creator>Haslbauer Heidemarie</dc:creator>
  <cp:keywords/>
  <dc:description/>
  <cp:lastModifiedBy>Pointner Karin</cp:lastModifiedBy>
  <cp:revision>2</cp:revision>
  <cp:lastPrinted>2022-08-09T13:02:00Z</cp:lastPrinted>
  <dcterms:created xsi:type="dcterms:W3CDTF">2022-12-09T10:05:00Z</dcterms:created>
  <dcterms:modified xsi:type="dcterms:W3CDTF">2022-12-09T10:05:00Z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272;##JA|1e5504a8-1e26-4690-80ea-a978882a45ce</vt:lpwstr>
  </property>
  <property fmtid="{D5CDD505-2E9C-101B-9397-08002B2CF9AE}" pid="10" name="FroConDoc_language">
    <vt:lpwstr>1;#DE|676160ea-61f7-4cef-8b4c-1724dec2206e</vt:lpwstr>
  </property>
</Properties>
</file>