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Nota de prensa</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224EBFA1" w14:textId="77777777" w:rsidR="006A6157" w:rsidRPr="00CE32AC" w:rsidRDefault="006A6157" w:rsidP="006A6157">
      <w:pPr>
        <w:jc w:val="both"/>
      </w:pPr>
      <w:r>
        <w:t>Recargue de paredes de membrana de 12 metros de altura con tecnología CMT</w:t>
      </w:r>
    </w:p>
    <w:p w14:paraId="421A437A" w14:textId="77777777" w:rsidR="006A6157" w:rsidRPr="006A6157" w:rsidRDefault="006A6157" w:rsidP="006A6157">
      <w:pPr>
        <w:rPr>
          <w:caps/>
          <w:color w:val="C00000"/>
          <w:sz w:val="32"/>
          <w:szCs w:val="32"/>
        </w:rPr>
      </w:pPr>
      <w:r w:rsidRPr="006A6157">
        <w:rPr>
          <w:caps/>
          <w:color w:val="C00000"/>
          <w:sz w:val="32"/>
        </w:rPr>
        <w:t xml:space="preserve"> CMT Cladding Tower para paredes de membrana</w:t>
      </w:r>
    </w:p>
    <w:p w14:paraId="049B7DCF" w14:textId="29BE79BC" w:rsidR="006A6157" w:rsidRDefault="006A6157" w:rsidP="006A6157">
      <w:r>
        <w:t xml:space="preserve">La empresa industrial SHI FW Energia FAKOP (FAKOP) cuenta con más de 100 años de historia. En 1880, Wilhelm Fitzner y Konrad Gamper fundan en Sosnowiec la fábrica de calderas de vapor W. Fitzner. Solo veinte años después, los caldereros polacos alcanzan fama a nivel mundial al ganar el "Grand Prix" en la exposición mundial de París. En 2009, FAKOP vuelve a ser el centro de atención al fabricar la mayor caldera de lecho fluidizado del mundo. El éxito en el ámbito de las calderas y el liderazgo en alta tecnología exigen la elección de una solución Fronius para el recargue de las paredes de membrana de 12 metros de altura utilizadas en las incineradoras de residuos. Más concretamente, de una instalación de recargue con CMT de gran altura de Welding Automation, operada por dos plataformas elevadoras. </w:t>
      </w:r>
    </w:p>
    <w:p w14:paraId="0B50E99C" w14:textId="77777777" w:rsidR="006A6157" w:rsidRPr="008E7374" w:rsidRDefault="006A6157" w:rsidP="006A6157">
      <w:pPr>
        <w:rPr>
          <w:vanish/>
          <w:sz w:val="21"/>
          <w:szCs w:val="21"/>
        </w:rPr>
      </w:pPr>
    </w:p>
    <w:p w14:paraId="5C36238C" w14:textId="77777777" w:rsidR="006A6157" w:rsidRPr="00CE32AC" w:rsidRDefault="006A6157" w:rsidP="006A6157">
      <w:pPr>
        <w:jc w:val="both"/>
        <w:rPr>
          <w:sz w:val="20"/>
          <w:szCs w:val="20"/>
        </w:rPr>
      </w:pPr>
      <w:r>
        <w:rPr>
          <w:sz w:val="20"/>
        </w:rPr>
        <w:t xml:space="preserve">Las paredes de membrana son superficies calefactoras fabricadas con tubos y hierro plano procedentes de grandes calderas acuotubulares utilizadas para generar energía a nivel comercial e industrial. El cambio de tendencia respecto a los combustibles y la quema de combustibles cada vez más complejos y corrosivos está obligando a desarrollar una protección adicional contra la corrosión de las paredes de membrana. El método de protección utilizado para ello se denomina recargue, y es el más eficaz para proteger la superficie de los tubos de membrana. </w:t>
      </w:r>
    </w:p>
    <w:p w14:paraId="23FE984A" w14:textId="77777777" w:rsidR="006A6157" w:rsidRPr="00CE32AC" w:rsidRDefault="006A6157" w:rsidP="006A6157">
      <w:pPr>
        <w:rPr>
          <w:sz w:val="20"/>
          <w:szCs w:val="20"/>
        </w:rPr>
      </w:pPr>
      <w:r>
        <w:rPr>
          <w:sz w:val="20"/>
        </w:rPr>
        <w:t>"</w:t>
      </w:r>
      <w:r>
        <w:rPr>
          <w:i/>
          <w:sz w:val="20"/>
        </w:rPr>
        <w:t>Para recargar los tubos de membrana utilizamos una torre de recargue de Fronius Welding Automation de unos 15 metros de altura",</w:t>
      </w:r>
      <w:r>
        <w:rPr>
          <w:sz w:val="20"/>
        </w:rPr>
        <w:t xml:space="preserve"> explica Arkadiusz Osuch, gerente de FAKOP. </w:t>
      </w:r>
      <w:r>
        <w:rPr>
          <w:i/>
          <w:sz w:val="20"/>
        </w:rPr>
        <w:t>"Puede alojar dos paredes de membrana de 12 metros de altura y 1,6 metros de anchura y se opera con dos plataformas elevadoras equipadas con la innovadora tecnología de soldadura CMT".</w:t>
      </w:r>
      <w:r>
        <w:rPr>
          <w:sz w:val="20"/>
        </w:rPr>
        <w:t xml:space="preserve"> </w:t>
      </w:r>
    </w:p>
    <w:p w14:paraId="79250DF8" w14:textId="77777777" w:rsidR="006A6157" w:rsidRPr="00CE32AC" w:rsidRDefault="006A6157" w:rsidP="006A6157">
      <w:pPr>
        <w:rPr>
          <w:sz w:val="20"/>
          <w:szCs w:val="20"/>
          <w:u w:val="single"/>
        </w:rPr>
      </w:pPr>
      <w:r>
        <w:rPr>
          <w:sz w:val="20"/>
          <w:u w:val="single"/>
        </w:rPr>
        <w:t>Producto de soldadura con un grado de mezcla de hierro inferior al 3 %</w:t>
      </w:r>
    </w:p>
    <w:p w14:paraId="1D95E10D" w14:textId="77777777" w:rsidR="006A6157" w:rsidRPr="00CE32AC" w:rsidRDefault="006A6157" w:rsidP="006A6157">
      <w:pPr>
        <w:rPr>
          <w:sz w:val="20"/>
        </w:rPr>
      </w:pPr>
      <w:r>
        <w:rPr>
          <w:sz w:val="20"/>
        </w:rPr>
        <w:t xml:space="preserve">El proceso de recargue es complejo. El grado de mezcla, es decir, el porcentaje de material base que se mezcla con la aleación, es decisivo para que la protección contra la corrosión sea eficaz. El objetivo es reducir al mínimo el grado de mezcla y garantizar una buena fusión entre el material base y la capa protectora. Un bajo grado de mezcla implica que las instalaciones tengan una mayor vida útil. </w:t>
      </w:r>
    </w:p>
    <w:p w14:paraId="19E7703D" w14:textId="77777777" w:rsidR="006A6157" w:rsidRPr="00CE32AC" w:rsidRDefault="006A6157" w:rsidP="006A6157">
      <w:pPr>
        <w:rPr>
          <w:sz w:val="20"/>
          <w:szCs w:val="20"/>
        </w:rPr>
      </w:pPr>
      <w:r>
        <w:rPr>
          <w:sz w:val="20"/>
        </w:rPr>
        <w:t>Jaroslaw Olej, experto sénior en soldadura, afirma</w:t>
      </w:r>
      <w:r>
        <w:rPr>
          <w:i/>
          <w:sz w:val="20"/>
        </w:rPr>
        <w:t>: "Ahora el grado de mezcla suele ser inferior al 3 %"</w:t>
      </w:r>
      <w:r>
        <w:rPr>
          <w:sz w:val="20"/>
        </w:rPr>
        <w:t xml:space="preserve">. </w:t>
      </w:r>
    </w:p>
    <w:p w14:paraId="5EC996B2" w14:textId="77777777" w:rsidR="006A6157" w:rsidRPr="00CE32AC" w:rsidRDefault="006A6157" w:rsidP="006A6157">
      <w:pPr>
        <w:rPr>
          <w:sz w:val="20"/>
          <w:szCs w:val="20"/>
        </w:rPr>
      </w:pPr>
      <w:r>
        <w:rPr>
          <w:sz w:val="20"/>
        </w:rPr>
        <w:t xml:space="preserve">Antes de que la gerencia de FAKOP decidiese adquirir un equipo de soldadura mecánico CMT, las paredes de membrana se revestían con otras técnicas. </w:t>
      </w:r>
    </w:p>
    <w:p w14:paraId="76A70FE4" w14:textId="77777777" w:rsidR="006A6157" w:rsidRPr="00CE32AC" w:rsidRDefault="006A6157" w:rsidP="006A6157">
      <w:pPr>
        <w:rPr>
          <w:sz w:val="20"/>
          <w:szCs w:val="20"/>
        </w:rPr>
      </w:pPr>
      <w:r>
        <w:rPr>
          <w:sz w:val="20"/>
        </w:rPr>
        <w:t>Para satisfacer las altas exigencias de calidad de los clientes, los ingenieros de producción de tecnología de soldadura de FAKOP prestan atención al más mínimo detalle ya durante el pretratamiento de los tubos de membrana. Una vez realizado el pretratamiento de la superficie, se lleva a cabo el recargue sin nada de polvo u óxido.</w:t>
      </w:r>
    </w:p>
    <w:p w14:paraId="021986E2" w14:textId="77777777" w:rsidR="006A6157" w:rsidRPr="00CE32AC" w:rsidRDefault="006A6157" w:rsidP="006A6157">
      <w:pPr>
        <w:rPr>
          <w:sz w:val="20"/>
          <w:szCs w:val="20"/>
          <w:u w:val="single"/>
        </w:rPr>
      </w:pPr>
      <w:r>
        <w:rPr>
          <w:sz w:val="20"/>
          <w:u w:val="single"/>
        </w:rPr>
        <w:lastRenderedPageBreak/>
        <w:t>El proceso de soldadura es crucial</w:t>
      </w:r>
    </w:p>
    <w:p w14:paraId="285832B1" w14:textId="77777777" w:rsidR="006A6157" w:rsidRPr="00CE32AC" w:rsidRDefault="006A6157" w:rsidP="006A6157">
      <w:pPr>
        <w:rPr>
          <w:sz w:val="20"/>
          <w:szCs w:val="20"/>
        </w:rPr>
      </w:pPr>
      <w:r>
        <w:rPr>
          <w:sz w:val="20"/>
        </w:rPr>
        <w:t>Un factor clave, y un punto a favor de la compra de la torre de soldadura Fronius, es el empleo de la tecnología CMT. Su ventaja radica en la regulación digital del proceso, que detecta cortocircuitos y favorece el desprendimiento de gota retirando el hilo. Esto crea un movimiento de avance y retroceso que hace que la fase de ignición del arco voltaico sea corta y que se reduzca la aportación de calor. El resultado es una transferencia de material que permite obtener recargues sin proyecciones, con una superficie especialmente lisa, solapamientos de cordón suaves y un grosor de capa constante.</w:t>
      </w:r>
    </w:p>
    <w:p w14:paraId="5A9D78AF" w14:textId="77777777" w:rsidR="006A6157" w:rsidRPr="00CE32AC" w:rsidRDefault="006A6157" w:rsidP="006A6157">
      <w:pPr>
        <w:rPr>
          <w:sz w:val="20"/>
          <w:szCs w:val="20"/>
        </w:rPr>
      </w:pPr>
      <w:r>
        <w:rPr>
          <w:sz w:val="20"/>
        </w:rPr>
        <w:t>"</w:t>
      </w:r>
      <w:r>
        <w:rPr>
          <w:i/>
          <w:sz w:val="20"/>
        </w:rPr>
        <w:t>Hoy en día, la mayoría de nuestros clientes exigen el empleo del proceso CMT", asegura Olej, y prosigue: "Se puede decir que se ha establecido como estándar, y los que saben cómo utilizarlo tienen una ventaja competitiva en el mercado".</w:t>
      </w:r>
      <w:r>
        <w:rPr>
          <w:sz w:val="20"/>
        </w:rPr>
        <w:t xml:space="preserve"> </w:t>
      </w:r>
    </w:p>
    <w:p w14:paraId="662BADE2" w14:textId="77777777" w:rsidR="006A6157" w:rsidRPr="00CE32AC" w:rsidRDefault="006A6157" w:rsidP="006A6157">
      <w:pPr>
        <w:rPr>
          <w:sz w:val="20"/>
          <w:szCs w:val="20"/>
          <w:u w:val="single"/>
        </w:rPr>
      </w:pPr>
      <w:r>
        <w:rPr>
          <w:sz w:val="20"/>
          <w:u w:val="single"/>
        </w:rPr>
        <w:t>La experiencia es sinónimo de éxito</w:t>
      </w:r>
    </w:p>
    <w:p w14:paraId="34BAAEEA" w14:textId="77777777" w:rsidR="006A6157" w:rsidRPr="00CE32AC" w:rsidRDefault="006A6157" w:rsidP="006A6157">
      <w:pPr>
        <w:rPr>
          <w:sz w:val="20"/>
          <w:szCs w:val="20"/>
        </w:rPr>
      </w:pPr>
      <w:r>
        <w:rPr>
          <w:sz w:val="20"/>
        </w:rPr>
        <w:t xml:space="preserve">La competencia y la experiencia en tecnología de soldadura desempeñan un papel importante. Así, por ejemplo, la estabilidad del arco voltaico y, por tanto, la tendencia a la porosidad, dependen en gran medida de una velocidad de hilo óptima y constante. </w:t>
      </w:r>
    </w:p>
    <w:p w14:paraId="78D50B7D" w14:textId="77777777" w:rsidR="006A6157" w:rsidRPr="00CE32AC" w:rsidRDefault="006A6157" w:rsidP="006A6157">
      <w:pPr>
        <w:rPr>
          <w:sz w:val="20"/>
          <w:szCs w:val="20"/>
        </w:rPr>
      </w:pPr>
      <w:r>
        <w:rPr>
          <w:sz w:val="20"/>
        </w:rPr>
        <w:t>"Desde el cilindro de transporte de hilo hasta la antorcha hay 15 metros de hilo, que es muchísimo, lo que dificulta el mantenimiento de una velocidad totalmente estable. Para ello se necesita un avance de hilo que funcione de forma fiable, unos conocimientos técnicos mínimos y realizar una serie de pruebas", señala Piotr Ogórek, experto en tecnología y desarrollo, sobre la importancia del conocimiento técnico a la hora de colocar paredes de membrana. "Otro criterio es la posición ideal de la antorcha de soldadura, pues si el ángulo de antorcha está mal ajustado, se producen proyecciones", continúa Ogórek.</w:t>
      </w:r>
    </w:p>
    <w:p w14:paraId="2026BB5D" w14:textId="77777777" w:rsidR="006A6157" w:rsidRPr="00CE32AC" w:rsidRDefault="006A6157" w:rsidP="006A6157">
      <w:pPr>
        <w:rPr>
          <w:sz w:val="20"/>
          <w:szCs w:val="20"/>
        </w:rPr>
      </w:pPr>
      <w:r>
        <w:rPr>
          <w:sz w:val="20"/>
        </w:rPr>
        <w:t xml:space="preserve">El stick-out y la longitud del arco voltaico asociada son otros factores de calidad determinantes que, junto con la velocidad constante del hilo, contribuyen a la reducción de la porosidad. Con la ayuda de Fronius, los especialistas de FAKOP adaptaron las propiedades de sus fuentes de potencia TPS/i CMT y ajustaron el stick-out correspondiente para conseguir resultados óptimos sin formación de poros. </w:t>
      </w:r>
    </w:p>
    <w:p w14:paraId="08EEA97E" w14:textId="77777777" w:rsidR="006A6157" w:rsidRPr="00CE32AC" w:rsidRDefault="006A6157" w:rsidP="006A6157">
      <w:pPr>
        <w:rPr>
          <w:sz w:val="20"/>
          <w:szCs w:val="20"/>
          <w:u w:val="single"/>
        </w:rPr>
      </w:pPr>
      <w:r>
        <w:rPr>
          <w:sz w:val="20"/>
          <w:u w:val="single"/>
        </w:rPr>
        <w:t>Torre de soldadura de alta tecnología y fácil manejo</w:t>
      </w:r>
    </w:p>
    <w:p w14:paraId="46E8FDEC" w14:textId="77777777" w:rsidR="006A6157" w:rsidRPr="00CE32AC" w:rsidRDefault="006A6157" w:rsidP="006A6157">
      <w:pPr>
        <w:rPr>
          <w:sz w:val="20"/>
          <w:szCs w:val="20"/>
        </w:rPr>
      </w:pPr>
      <w:r>
        <w:rPr>
          <w:sz w:val="20"/>
        </w:rPr>
        <w:t>La soldadura se realiza con un movimiento pendular horizontal de arriba hacia abajo en posición vertical descendente (PG). Las dos plataformas elevadoras están equipadas con tecnología de soldadura CMT y disponen de controles intuitivos del sistema HMI con pantalla táctil, cámara ArcView con monitor, dos antorchas CMT y un joystick para el ajuste de precisión.</w:t>
      </w:r>
    </w:p>
    <w:p w14:paraId="73621495" w14:textId="77777777" w:rsidR="006A6157" w:rsidRPr="00CE32AC" w:rsidRDefault="006A6157" w:rsidP="006A6157">
      <w:pPr>
        <w:rPr>
          <w:sz w:val="20"/>
          <w:szCs w:val="20"/>
        </w:rPr>
      </w:pPr>
      <w:r>
        <w:rPr>
          <w:sz w:val="20"/>
        </w:rPr>
        <w:t xml:space="preserve">Todas las antorchas están refrigeradas por agua, por lo que su temperatura tiene una gran repercusión en el grado de mezcla. Para que no se supere en ningún caso el valor límite del 3 %, la mezcla no debe estar ni demasiado fría ni demasiado caliente. Para ello, se requiere una regulación precisa por parte del sistema de refrigeración de la instalación. </w:t>
      </w:r>
    </w:p>
    <w:p w14:paraId="14BC8DC5" w14:textId="77777777" w:rsidR="006A6157" w:rsidRPr="00CE32AC" w:rsidRDefault="006A6157" w:rsidP="006A6157">
      <w:pPr>
        <w:rPr>
          <w:sz w:val="20"/>
          <w:szCs w:val="20"/>
        </w:rPr>
      </w:pPr>
      <w:r>
        <w:rPr>
          <w:sz w:val="20"/>
        </w:rPr>
        <w:t xml:space="preserve">Cabe destacar una nueva optimización del sistema: el cómodo ajuste de precisión de la posición de la antorcha con un joystick. Al principio,  se requería una gran destreza, ya que la antorcha tenía que colocarse manualmente con un riel de deslizamiento, lo que hacía casi imposible realizar un ajuste preciso. Gracias a la cámara ArcView y al joystick, el ajuste de precisión puede hacerse ahora de forma cómoda, rápida y con precisión milimétrica. </w:t>
      </w:r>
    </w:p>
    <w:p w14:paraId="209778F0" w14:textId="77777777" w:rsidR="006A6157" w:rsidRPr="00CE32AC" w:rsidRDefault="006A6157" w:rsidP="006A6157">
      <w:pPr>
        <w:rPr>
          <w:sz w:val="20"/>
          <w:szCs w:val="20"/>
        </w:rPr>
      </w:pPr>
      <w:r>
        <w:rPr>
          <w:sz w:val="20"/>
        </w:rPr>
        <w:lastRenderedPageBreak/>
        <w:t xml:space="preserve">La seguridad de los usuarios está garantizada gracias a que cada antorcha dispone de un sistema de aspiración de humo y a la presencia de una cortina tintada en rojo oscuro para proteger la vista, que aísla las dos plataformas elevadoras, se extiende por toda la altura del equipo y protege de la radiación UV. </w:t>
      </w:r>
    </w:p>
    <w:p w14:paraId="6E0755C4" w14:textId="77777777" w:rsidR="006A6157" w:rsidRPr="00CE32AC" w:rsidRDefault="006A6157" w:rsidP="006A6157">
      <w:pPr>
        <w:rPr>
          <w:sz w:val="20"/>
          <w:szCs w:val="20"/>
        </w:rPr>
      </w:pPr>
      <w:r>
        <w:rPr>
          <w:sz w:val="20"/>
        </w:rPr>
        <w:t>"Otra característica importante del sistema Fronius es WeldCube, el software de gestión de datos de soldadura", afirma Osuch. "Durante el recargue, WeldCube registra todos los datos del proceso, lo que nos facilita la gestión. Estamos muy satisfechos con el sistema de recargue de Fronius y hemos decidido comprar otro equipo".</w:t>
      </w:r>
    </w:p>
    <w:p w14:paraId="2A724474" w14:textId="77777777" w:rsidR="006A6157" w:rsidRPr="00CE32AC" w:rsidRDefault="006A6157" w:rsidP="006A6157">
      <w:pPr>
        <w:rPr>
          <w:sz w:val="20"/>
          <w:szCs w:val="20"/>
          <w:u w:val="single"/>
        </w:rPr>
      </w:pPr>
      <w:r>
        <w:rPr>
          <w:sz w:val="20"/>
          <w:u w:val="single"/>
        </w:rPr>
        <w:t>Beneficios para el medio ambiente</w:t>
      </w:r>
    </w:p>
    <w:p w14:paraId="2C7496B1" w14:textId="77777777" w:rsidR="006A6157" w:rsidRDefault="006A6157" w:rsidP="006A6157">
      <w:pPr>
        <w:rPr>
          <w:sz w:val="20"/>
        </w:rPr>
      </w:pPr>
      <w:r>
        <w:rPr>
          <w:sz w:val="20"/>
        </w:rPr>
        <w:t>Además de fabricar paredes de membrana y calderas acuotubulares de alta calidad, FAKOP dispone de productos para incineradoras de residuos que contribuyen significativamente a gestionar los residuos de forma sostenible. Según la ISWA (Asociación Internacional de Residuos Sólidos), se producen entre 7.000 y 10. 000 millones de toneladas de residuos urbanos a nivel mundial. Una gran parte de ellos acaba en vertederos, lo que genera metano, un gas de efecto invernadero 20 veces más dañino que el dióxido de carbono. Las plantas de incineración de residuos para obtener energía térmica son una alternativa eficaz al depósito en vertederos que contribuye a reducir las emisiones de gases de efecto invernadero y a generar electricidad y calor, lo que promueve la economía circular.</w:t>
      </w:r>
    </w:p>
    <w:p w14:paraId="3F3A69DD" w14:textId="2C11E645" w:rsidR="00141235" w:rsidRDefault="006A6157" w:rsidP="006A6157">
      <w:pPr>
        <w:rPr>
          <w:sz w:val="20"/>
          <w:szCs w:val="20"/>
          <w:lang w:val="en-US"/>
        </w:rPr>
      </w:pPr>
      <w:r>
        <w:rPr>
          <w:sz w:val="20"/>
        </w:rPr>
        <w:cr/>
      </w:r>
      <w:r>
        <w:rPr>
          <w:sz w:val="20"/>
          <w:szCs w:val="20"/>
          <w:lang w:val="en-US"/>
        </w:rPr>
        <w:t>7.744</w:t>
      </w:r>
      <w:r w:rsidR="00141235" w:rsidRPr="006158A3">
        <w:rPr>
          <w:sz w:val="20"/>
          <w:szCs w:val="20"/>
          <w:lang w:val="en-US"/>
        </w:rPr>
        <w:t xml:space="preserve"> </w:t>
      </w:r>
      <w:proofErr w:type="spellStart"/>
      <w:r w:rsidR="00141235" w:rsidRPr="006158A3">
        <w:rPr>
          <w:sz w:val="20"/>
          <w:szCs w:val="20"/>
          <w:lang w:val="en-US"/>
        </w:rPr>
        <w:t>caracteres</w:t>
      </w:r>
      <w:proofErr w:type="spellEnd"/>
      <w:r w:rsidR="00141235" w:rsidRPr="006158A3">
        <w:rPr>
          <w:sz w:val="20"/>
          <w:szCs w:val="20"/>
          <w:lang w:val="en-US"/>
        </w:rPr>
        <w:t xml:space="preserve"> </w:t>
      </w:r>
      <w:proofErr w:type="spellStart"/>
      <w:r w:rsidR="00141235" w:rsidRPr="006158A3">
        <w:rPr>
          <w:sz w:val="20"/>
          <w:szCs w:val="20"/>
          <w:lang w:val="en-US"/>
        </w:rPr>
        <w:t>incluidos</w:t>
      </w:r>
      <w:proofErr w:type="spellEnd"/>
      <w:r w:rsidR="00141235" w:rsidRPr="006158A3">
        <w:rPr>
          <w:sz w:val="20"/>
          <w:szCs w:val="20"/>
          <w:lang w:val="en-US"/>
        </w:rPr>
        <w:t xml:space="preserve"> </w:t>
      </w:r>
      <w:proofErr w:type="spellStart"/>
      <w:r w:rsidR="00141235" w:rsidRPr="006158A3">
        <w:rPr>
          <w:sz w:val="20"/>
          <w:szCs w:val="20"/>
          <w:lang w:val="en-US"/>
        </w:rPr>
        <w:t>espacios</w:t>
      </w:r>
      <w:proofErr w:type="spellEnd"/>
    </w:p>
    <w:p w14:paraId="54465E45" w14:textId="2A9B6E82" w:rsidR="00141235" w:rsidRDefault="00141235" w:rsidP="00141235">
      <w:pPr>
        <w:pStyle w:val="StandardWeb"/>
        <w:spacing w:before="0" w:beforeAutospacing="0" w:after="160" w:afterAutospacing="0"/>
        <w:rPr>
          <w:rFonts w:ascii="Noto Sans" w:hAnsi="Noto Sans" w:cs="Noto Sans"/>
          <w:sz w:val="20"/>
          <w:szCs w:val="20"/>
          <w:lang w:val="en-US"/>
        </w:rPr>
      </w:pPr>
    </w:p>
    <w:p w14:paraId="27EB4B38" w14:textId="484A68B6" w:rsidR="00141235" w:rsidRPr="006A6157" w:rsidRDefault="00141235" w:rsidP="006A6157">
      <w:pPr>
        <w:rPr>
          <w:rFonts w:cs="Arial"/>
          <w:sz w:val="20"/>
          <w:szCs w:val="20"/>
        </w:rPr>
      </w:pPr>
      <w:r w:rsidRPr="00141235">
        <w:rPr>
          <w:rFonts w:cs="Arial"/>
          <w:sz w:val="20"/>
          <w:szCs w:val="20"/>
        </w:rPr>
        <w:t>Imágenes de alta resolución están disponibles para descargar del siguiente enlace:</w:t>
      </w:r>
      <w:r w:rsidRPr="00141235">
        <w:rPr>
          <w:rFonts w:cs="Arial"/>
          <w:sz w:val="20"/>
          <w:szCs w:val="20"/>
        </w:rPr>
        <w:br/>
      </w:r>
      <w:hyperlink r:id="rId6" w:history="1">
        <w:r w:rsidRPr="00141235">
          <w:rPr>
            <w:rStyle w:val="Hyperlink"/>
            <w:sz w:val="20"/>
            <w:szCs w:val="20"/>
          </w:rPr>
          <w:t>https://www.fronius.com/es-es/spain/tecnologia-de-soldadura/centro-de-informacion/prensa</w:t>
        </w:r>
      </w:hyperlink>
    </w:p>
    <w:p w14:paraId="3631D22A" w14:textId="77777777" w:rsidR="00141235" w:rsidRDefault="00141235">
      <w:pPr>
        <w:pStyle w:val="berschrift4"/>
        <w:jc w:val="both"/>
        <w:rPr>
          <w:sz w:val="20"/>
        </w:rPr>
      </w:pPr>
    </w:p>
    <w:p w14:paraId="54C0DAF4" w14:textId="4DCC6B01" w:rsidR="00ED5042" w:rsidRDefault="00B801F9">
      <w:pPr>
        <w:pStyle w:val="berschrift4"/>
        <w:jc w:val="both"/>
        <w:rPr>
          <w:sz w:val="20"/>
          <w:szCs w:val="20"/>
        </w:rPr>
      </w:pPr>
      <w:r>
        <w:rPr>
          <w:sz w:val="20"/>
        </w:rPr>
        <w:t>Sinopsis del material gráfico</w:t>
      </w:r>
    </w:p>
    <w:p w14:paraId="344F8B2A" w14:textId="77777777" w:rsidR="006A6157" w:rsidRDefault="006A6157" w:rsidP="006A6157">
      <w:pPr>
        <w:jc w:val="both"/>
        <w:rPr>
          <w:noProof/>
        </w:rPr>
      </w:pPr>
    </w:p>
    <w:p w14:paraId="6F58C6D6" w14:textId="5855AFB0" w:rsidR="006A6157" w:rsidRPr="006A6157" w:rsidRDefault="006A6157" w:rsidP="006A6157">
      <w:pPr>
        <w:rPr>
          <w:sz w:val="18"/>
          <w:szCs w:val="18"/>
        </w:rPr>
      </w:pPr>
      <w:r w:rsidRPr="00CE32AC">
        <w:rPr>
          <w:noProof/>
        </w:rPr>
        <w:drawing>
          <wp:anchor distT="0" distB="0" distL="114300" distR="114300" simplePos="0" relativeHeight="251659264" behindDoc="0" locked="0" layoutInCell="1" allowOverlap="1" wp14:anchorId="1F9A8282" wp14:editId="058D88DA">
            <wp:simplePos x="0" y="0"/>
            <wp:positionH relativeFrom="column">
              <wp:posOffset>1448</wp:posOffset>
            </wp:positionH>
            <wp:positionV relativeFrom="paragraph">
              <wp:posOffset>-5</wp:posOffset>
            </wp:positionV>
            <wp:extent cx="2198455" cy="1466850"/>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8455" cy="1466850"/>
                    </a:xfrm>
                    <a:prstGeom prst="rect">
                      <a:avLst/>
                    </a:prstGeom>
                    <a:noFill/>
                    <a:ln>
                      <a:noFill/>
                    </a:ln>
                  </pic:spPr>
                </pic:pic>
              </a:graphicData>
            </a:graphic>
          </wp:anchor>
        </w:drawing>
      </w:r>
      <w:r w:rsidRPr="009C767E">
        <w:t xml:space="preserve"> </w:t>
      </w:r>
      <w:r w:rsidRPr="00275D7C">
        <w:rPr>
          <w:sz w:val="18"/>
          <w:szCs w:val="18"/>
        </w:rPr>
        <w:t>Arkadiusz Osuch, gerente de FAKOP</w:t>
      </w:r>
    </w:p>
    <w:p w14:paraId="3BD0FC33" w14:textId="77777777" w:rsidR="006A6157" w:rsidRDefault="006A6157" w:rsidP="006A6157">
      <w:pPr>
        <w:jc w:val="both"/>
        <w:rPr>
          <w:sz w:val="16"/>
          <w:szCs w:val="16"/>
        </w:rPr>
      </w:pPr>
    </w:p>
    <w:p w14:paraId="5B67FF20" w14:textId="77777777" w:rsidR="006A6157" w:rsidRDefault="006A6157" w:rsidP="006A6157">
      <w:pPr>
        <w:jc w:val="both"/>
        <w:rPr>
          <w:sz w:val="16"/>
          <w:szCs w:val="16"/>
        </w:rPr>
      </w:pPr>
    </w:p>
    <w:p w14:paraId="3FB35D38" w14:textId="77777777" w:rsidR="006A6157" w:rsidRDefault="006A6157" w:rsidP="006A6157">
      <w:pPr>
        <w:jc w:val="both"/>
        <w:rPr>
          <w:sz w:val="16"/>
          <w:szCs w:val="16"/>
        </w:rPr>
      </w:pPr>
    </w:p>
    <w:p w14:paraId="5F0C0B14" w14:textId="77777777" w:rsidR="006A6157" w:rsidRDefault="006A6157" w:rsidP="006A6157">
      <w:pPr>
        <w:jc w:val="both"/>
        <w:rPr>
          <w:sz w:val="16"/>
          <w:szCs w:val="16"/>
        </w:rPr>
      </w:pPr>
    </w:p>
    <w:p w14:paraId="6C11E105" w14:textId="77777777" w:rsidR="006A6157" w:rsidRDefault="006A6157" w:rsidP="006A6157">
      <w:pPr>
        <w:jc w:val="both"/>
        <w:rPr>
          <w:sz w:val="16"/>
          <w:szCs w:val="16"/>
        </w:rPr>
      </w:pPr>
    </w:p>
    <w:p w14:paraId="04F26618" w14:textId="6A56F2F8" w:rsidR="006A6157" w:rsidRPr="006A6157" w:rsidRDefault="006A6157" w:rsidP="006A6157">
      <w:pPr>
        <w:rPr>
          <w:sz w:val="18"/>
          <w:szCs w:val="18"/>
        </w:rPr>
      </w:pPr>
      <w:r w:rsidRPr="009C767E">
        <w:rPr>
          <w:noProof/>
          <w:sz w:val="16"/>
          <w:szCs w:val="16"/>
        </w:rPr>
        <w:drawing>
          <wp:anchor distT="0" distB="0" distL="114300" distR="114300" simplePos="0" relativeHeight="251668480" behindDoc="0" locked="0" layoutInCell="1" allowOverlap="1" wp14:anchorId="37FAF321" wp14:editId="4B09BE8C">
            <wp:simplePos x="0" y="0"/>
            <wp:positionH relativeFrom="margin">
              <wp:align>left</wp:align>
            </wp:positionH>
            <wp:positionV relativeFrom="paragraph">
              <wp:posOffset>13970</wp:posOffset>
            </wp:positionV>
            <wp:extent cx="2217420" cy="1478915"/>
            <wp:effectExtent l="0" t="0" r="0" b="6985"/>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9281" cy="1487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6157">
        <w:rPr>
          <w:sz w:val="18"/>
          <w:szCs w:val="18"/>
        </w:rPr>
        <w:t xml:space="preserve"> </w:t>
      </w:r>
      <w:r w:rsidRPr="00275D7C">
        <w:rPr>
          <w:sz w:val="18"/>
          <w:szCs w:val="18"/>
        </w:rPr>
        <w:t xml:space="preserve">Jaroslaw Olej, experto sénior en soldadura </w:t>
      </w:r>
    </w:p>
    <w:p w14:paraId="62436223" w14:textId="77777777" w:rsidR="006A6157" w:rsidRDefault="006A6157" w:rsidP="006A6157">
      <w:pPr>
        <w:jc w:val="both"/>
        <w:rPr>
          <w:sz w:val="16"/>
          <w:szCs w:val="16"/>
        </w:rPr>
      </w:pPr>
    </w:p>
    <w:p w14:paraId="6CC44411" w14:textId="0F4F586F" w:rsidR="006A6157" w:rsidRDefault="006A6157" w:rsidP="006A6157">
      <w:pPr>
        <w:jc w:val="both"/>
        <w:rPr>
          <w:sz w:val="16"/>
          <w:szCs w:val="16"/>
        </w:rPr>
      </w:pPr>
      <w:r>
        <w:rPr>
          <w:sz w:val="16"/>
          <w:szCs w:val="16"/>
        </w:rPr>
        <w:br/>
      </w:r>
    </w:p>
    <w:p w14:paraId="40743CA2" w14:textId="77777777" w:rsidR="006A6157" w:rsidRDefault="006A6157" w:rsidP="006A6157">
      <w:pPr>
        <w:jc w:val="both"/>
        <w:rPr>
          <w:sz w:val="16"/>
          <w:szCs w:val="16"/>
        </w:rPr>
      </w:pPr>
    </w:p>
    <w:p w14:paraId="4646E174" w14:textId="77777777" w:rsidR="006A6157" w:rsidRDefault="006A6157" w:rsidP="006A6157">
      <w:pPr>
        <w:jc w:val="both"/>
        <w:rPr>
          <w:sz w:val="16"/>
          <w:szCs w:val="16"/>
        </w:rPr>
      </w:pPr>
    </w:p>
    <w:p w14:paraId="2843E760" w14:textId="7F8A477F" w:rsidR="006A6157" w:rsidRDefault="006A6157" w:rsidP="006A6157">
      <w:pPr>
        <w:jc w:val="both"/>
        <w:rPr>
          <w:sz w:val="16"/>
          <w:szCs w:val="16"/>
        </w:rPr>
      </w:pPr>
      <w:r w:rsidRPr="00CE32AC">
        <w:rPr>
          <w:noProof/>
          <w:szCs w:val="20"/>
        </w:rPr>
        <w:lastRenderedPageBreak/>
        <w:drawing>
          <wp:anchor distT="0" distB="0" distL="114300" distR="114300" simplePos="0" relativeHeight="251669504" behindDoc="0" locked="0" layoutInCell="1" allowOverlap="1" wp14:anchorId="1A2CAC97" wp14:editId="76E5DEE0">
            <wp:simplePos x="0" y="0"/>
            <wp:positionH relativeFrom="margin">
              <wp:align>left</wp:align>
            </wp:positionH>
            <wp:positionV relativeFrom="paragraph">
              <wp:posOffset>213995</wp:posOffset>
            </wp:positionV>
            <wp:extent cx="2109923" cy="1407781"/>
            <wp:effectExtent l="0" t="0" r="5080" b="254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9923" cy="1407781"/>
                    </a:xfrm>
                    <a:prstGeom prst="rect">
                      <a:avLst/>
                    </a:prstGeom>
                    <a:noFill/>
                    <a:ln>
                      <a:noFill/>
                    </a:ln>
                  </pic:spPr>
                </pic:pic>
              </a:graphicData>
            </a:graphic>
          </wp:anchor>
        </w:drawing>
      </w:r>
    </w:p>
    <w:p w14:paraId="5010053F" w14:textId="40545D40" w:rsidR="006A6157" w:rsidRPr="006A6157" w:rsidRDefault="006A6157" w:rsidP="006A6157">
      <w:pPr>
        <w:rPr>
          <w:noProof/>
          <w:sz w:val="18"/>
          <w:szCs w:val="18"/>
        </w:rPr>
      </w:pPr>
      <w:r w:rsidRPr="009C767E">
        <w:t xml:space="preserve"> </w:t>
      </w:r>
      <w:r w:rsidRPr="006A6157">
        <w:rPr>
          <w:sz w:val="18"/>
          <w:szCs w:val="18"/>
        </w:rPr>
        <w:t xml:space="preserve">Piotr Ogórek, experto en tecnología y desarrollo </w:t>
      </w:r>
    </w:p>
    <w:p w14:paraId="11A624A5" w14:textId="77777777" w:rsidR="006A6157" w:rsidRDefault="006A6157" w:rsidP="006A6157">
      <w:pPr>
        <w:rPr>
          <w:noProof/>
          <w:szCs w:val="20"/>
        </w:rPr>
      </w:pPr>
    </w:p>
    <w:p w14:paraId="2DD890DB" w14:textId="77777777" w:rsidR="006A6157" w:rsidRDefault="006A6157" w:rsidP="006A6157">
      <w:pPr>
        <w:rPr>
          <w:noProof/>
          <w:szCs w:val="20"/>
        </w:rPr>
      </w:pPr>
    </w:p>
    <w:p w14:paraId="6839DCE6" w14:textId="77777777" w:rsidR="006A6157" w:rsidRDefault="006A6157" w:rsidP="006A6157">
      <w:pPr>
        <w:rPr>
          <w:noProof/>
          <w:szCs w:val="20"/>
        </w:rPr>
      </w:pPr>
    </w:p>
    <w:p w14:paraId="0EDC5E5E" w14:textId="77777777" w:rsidR="006A6157" w:rsidRDefault="006A6157" w:rsidP="006A6157">
      <w:pPr>
        <w:rPr>
          <w:noProof/>
          <w:szCs w:val="20"/>
        </w:rPr>
      </w:pPr>
    </w:p>
    <w:p w14:paraId="6A755210" w14:textId="1D9FEA3E" w:rsidR="006A6157" w:rsidRPr="006A6157" w:rsidRDefault="006A6157" w:rsidP="006A6157">
      <w:pPr>
        <w:rPr>
          <w:sz w:val="18"/>
          <w:szCs w:val="18"/>
        </w:rPr>
      </w:pPr>
      <w:r w:rsidRPr="00CE32AC">
        <w:rPr>
          <w:noProof/>
          <w:szCs w:val="20"/>
        </w:rPr>
        <w:drawing>
          <wp:anchor distT="0" distB="0" distL="114300" distR="114300" simplePos="0" relativeHeight="251670528" behindDoc="0" locked="0" layoutInCell="1" allowOverlap="1" wp14:anchorId="10B86717" wp14:editId="34DA7CA7">
            <wp:simplePos x="0" y="0"/>
            <wp:positionH relativeFrom="margin">
              <wp:align>left</wp:align>
            </wp:positionH>
            <wp:positionV relativeFrom="paragraph">
              <wp:posOffset>76200</wp:posOffset>
            </wp:positionV>
            <wp:extent cx="2109470" cy="1409812"/>
            <wp:effectExtent l="0" t="0" r="508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9470" cy="1409812"/>
                    </a:xfrm>
                    <a:prstGeom prst="rect">
                      <a:avLst/>
                    </a:prstGeom>
                    <a:noFill/>
                    <a:ln>
                      <a:noFill/>
                    </a:ln>
                  </pic:spPr>
                </pic:pic>
              </a:graphicData>
            </a:graphic>
          </wp:anchor>
        </w:drawing>
      </w:r>
      <w:r>
        <w:rPr>
          <w:noProof/>
          <w:szCs w:val="20"/>
        </w:rPr>
        <w:br/>
      </w:r>
      <w:r w:rsidRPr="00275D7C">
        <w:rPr>
          <w:sz w:val="18"/>
          <w:szCs w:val="18"/>
        </w:rPr>
        <w:t>CMT Cladding Tower: fijación de las paredes de membrana, vista desde la plataforma</w:t>
      </w:r>
    </w:p>
    <w:p w14:paraId="46E23425" w14:textId="77777777" w:rsidR="006A6157" w:rsidRPr="006A6157" w:rsidRDefault="006A6157" w:rsidP="006A6157">
      <w:pPr>
        <w:rPr>
          <w:noProof/>
          <w:sz w:val="20"/>
          <w:szCs w:val="20"/>
        </w:rPr>
      </w:pPr>
    </w:p>
    <w:p w14:paraId="31DA2FCB" w14:textId="77777777" w:rsidR="006A6157" w:rsidRDefault="006A6157" w:rsidP="006A6157">
      <w:pPr>
        <w:jc w:val="both"/>
        <w:rPr>
          <w:sz w:val="16"/>
          <w:szCs w:val="16"/>
        </w:rPr>
      </w:pPr>
    </w:p>
    <w:p w14:paraId="2BBFF658" w14:textId="77777777" w:rsidR="006A6157" w:rsidRDefault="006A6157" w:rsidP="006A6157">
      <w:pPr>
        <w:jc w:val="both"/>
        <w:rPr>
          <w:sz w:val="16"/>
          <w:szCs w:val="16"/>
        </w:rPr>
      </w:pPr>
    </w:p>
    <w:p w14:paraId="7E5A5B11" w14:textId="77777777" w:rsidR="006A6157" w:rsidRDefault="006A6157" w:rsidP="006A6157">
      <w:pPr>
        <w:jc w:val="both"/>
        <w:rPr>
          <w:sz w:val="16"/>
          <w:szCs w:val="16"/>
        </w:rPr>
      </w:pPr>
    </w:p>
    <w:p w14:paraId="6B6497DB" w14:textId="5801ECC1" w:rsidR="006A6157" w:rsidRPr="006A6157" w:rsidRDefault="006A6157" w:rsidP="006A6157">
      <w:pPr>
        <w:rPr>
          <w:sz w:val="18"/>
          <w:szCs w:val="18"/>
        </w:rPr>
      </w:pPr>
      <w:r w:rsidRPr="006A6157">
        <w:rPr>
          <w:noProof/>
          <w:sz w:val="18"/>
          <w:szCs w:val="18"/>
        </w:rPr>
        <w:drawing>
          <wp:anchor distT="0" distB="0" distL="114300" distR="114300" simplePos="0" relativeHeight="251671552" behindDoc="0" locked="0" layoutInCell="1" allowOverlap="1" wp14:anchorId="73CF07E0" wp14:editId="37D73310">
            <wp:simplePos x="0" y="0"/>
            <wp:positionH relativeFrom="margin">
              <wp:align>left</wp:align>
            </wp:positionH>
            <wp:positionV relativeFrom="paragraph">
              <wp:posOffset>5080</wp:posOffset>
            </wp:positionV>
            <wp:extent cx="2109920" cy="1407781"/>
            <wp:effectExtent l="0" t="0" r="5080" b="254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09920" cy="1407781"/>
                    </a:xfrm>
                    <a:prstGeom prst="rect">
                      <a:avLst/>
                    </a:prstGeom>
                    <a:noFill/>
                    <a:ln>
                      <a:noFill/>
                    </a:ln>
                  </pic:spPr>
                </pic:pic>
              </a:graphicData>
            </a:graphic>
          </wp:anchor>
        </w:drawing>
      </w:r>
      <w:r w:rsidRPr="006A6157">
        <w:rPr>
          <w:sz w:val="18"/>
          <w:szCs w:val="18"/>
        </w:rPr>
        <w:t>CMT Cladding Tower: elevación de las paredes de membrana</w:t>
      </w:r>
    </w:p>
    <w:p w14:paraId="0D228FFE" w14:textId="77777777" w:rsidR="006A6157" w:rsidRPr="000321DE" w:rsidRDefault="006A6157" w:rsidP="006A6157">
      <w:pPr>
        <w:jc w:val="both"/>
        <w:rPr>
          <w:sz w:val="16"/>
          <w:szCs w:val="16"/>
        </w:rPr>
      </w:pPr>
    </w:p>
    <w:p w14:paraId="01FAB840" w14:textId="77777777" w:rsidR="006A6157" w:rsidRDefault="006A6157" w:rsidP="006A6157">
      <w:pPr>
        <w:rPr>
          <w:sz w:val="16"/>
          <w:szCs w:val="16"/>
        </w:rPr>
      </w:pPr>
    </w:p>
    <w:p w14:paraId="0A7B32D7" w14:textId="77777777" w:rsidR="006A6157" w:rsidRDefault="006A6157" w:rsidP="006A6157">
      <w:pPr>
        <w:rPr>
          <w:sz w:val="16"/>
          <w:szCs w:val="16"/>
        </w:rPr>
      </w:pPr>
    </w:p>
    <w:p w14:paraId="335A0F71" w14:textId="77777777" w:rsidR="006A6157" w:rsidRDefault="006A6157" w:rsidP="006A6157">
      <w:pPr>
        <w:rPr>
          <w:sz w:val="16"/>
          <w:szCs w:val="16"/>
        </w:rPr>
      </w:pPr>
    </w:p>
    <w:p w14:paraId="210F2867" w14:textId="77777777" w:rsidR="006A6157" w:rsidRDefault="006A6157" w:rsidP="006A6157">
      <w:pPr>
        <w:rPr>
          <w:sz w:val="16"/>
          <w:szCs w:val="16"/>
        </w:rPr>
      </w:pPr>
    </w:p>
    <w:p w14:paraId="5D8DB126" w14:textId="74D31C0A" w:rsidR="006A6157" w:rsidRPr="006A6157" w:rsidRDefault="006A6157" w:rsidP="006A6157">
      <w:pPr>
        <w:rPr>
          <w:sz w:val="18"/>
          <w:szCs w:val="18"/>
        </w:rPr>
      </w:pPr>
      <w:r w:rsidRPr="00CE32AC">
        <w:rPr>
          <w:noProof/>
          <w:szCs w:val="20"/>
        </w:rPr>
        <w:drawing>
          <wp:anchor distT="0" distB="0" distL="114300" distR="114300" simplePos="0" relativeHeight="251672576" behindDoc="0" locked="0" layoutInCell="1" allowOverlap="1" wp14:anchorId="6184FFF2" wp14:editId="465BC639">
            <wp:simplePos x="0" y="0"/>
            <wp:positionH relativeFrom="margin">
              <wp:align>left</wp:align>
            </wp:positionH>
            <wp:positionV relativeFrom="paragraph">
              <wp:posOffset>40617</wp:posOffset>
            </wp:positionV>
            <wp:extent cx="2118251" cy="1412245"/>
            <wp:effectExtent l="0" t="0" r="0" b="0"/>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18251" cy="1412245"/>
                    </a:xfrm>
                    <a:prstGeom prst="rect">
                      <a:avLst/>
                    </a:prstGeom>
                    <a:noFill/>
                    <a:ln>
                      <a:noFill/>
                    </a:ln>
                  </pic:spPr>
                </pic:pic>
              </a:graphicData>
            </a:graphic>
          </wp:anchor>
        </w:drawing>
      </w:r>
      <w:r w:rsidRPr="006A6157">
        <w:rPr>
          <w:sz w:val="20"/>
        </w:rPr>
        <w:t xml:space="preserve"> </w:t>
      </w:r>
      <w:r w:rsidRPr="006A6157">
        <w:rPr>
          <w:sz w:val="18"/>
          <w:szCs w:val="18"/>
        </w:rPr>
        <w:t>CMT Cladding Tower: vista del proceso de recargue</w:t>
      </w:r>
    </w:p>
    <w:p w14:paraId="1FD1EA11" w14:textId="77777777" w:rsidR="006A6157" w:rsidRDefault="006A6157" w:rsidP="006A6157">
      <w:pPr>
        <w:rPr>
          <w:sz w:val="16"/>
          <w:szCs w:val="16"/>
        </w:rPr>
      </w:pPr>
    </w:p>
    <w:p w14:paraId="530D5582" w14:textId="77777777" w:rsidR="006A6157" w:rsidRDefault="006A6157" w:rsidP="006A6157">
      <w:pPr>
        <w:rPr>
          <w:sz w:val="16"/>
          <w:szCs w:val="16"/>
        </w:rPr>
      </w:pPr>
    </w:p>
    <w:p w14:paraId="41963312" w14:textId="77777777" w:rsidR="006A6157" w:rsidRDefault="006A6157" w:rsidP="006A6157">
      <w:pPr>
        <w:rPr>
          <w:sz w:val="16"/>
          <w:szCs w:val="16"/>
        </w:rPr>
      </w:pPr>
    </w:p>
    <w:p w14:paraId="3A320105" w14:textId="0C23BAD5" w:rsidR="006A6157" w:rsidRDefault="006A6157" w:rsidP="006A6157">
      <w:pPr>
        <w:jc w:val="both"/>
        <w:rPr>
          <w:sz w:val="16"/>
          <w:szCs w:val="16"/>
        </w:rPr>
      </w:pPr>
    </w:p>
    <w:p w14:paraId="59B4E78C" w14:textId="4FDFDAEC" w:rsidR="006A6157" w:rsidRDefault="006A6157" w:rsidP="006A6157">
      <w:pPr>
        <w:jc w:val="both"/>
        <w:rPr>
          <w:sz w:val="16"/>
          <w:szCs w:val="16"/>
        </w:rPr>
      </w:pPr>
      <w:r>
        <w:rPr>
          <w:sz w:val="16"/>
          <w:szCs w:val="16"/>
        </w:rPr>
        <w:br/>
      </w:r>
    </w:p>
    <w:p w14:paraId="507009D2" w14:textId="02FDE38F" w:rsidR="006A6157" w:rsidRPr="006A6157" w:rsidRDefault="006A6157" w:rsidP="006A6157">
      <w:pPr>
        <w:rPr>
          <w:sz w:val="18"/>
          <w:szCs w:val="18"/>
        </w:rPr>
      </w:pPr>
      <w:r w:rsidRPr="00CE32AC">
        <w:rPr>
          <w:noProof/>
          <w:szCs w:val="20"/>
        </w:rPr>
        <w:drawing>
          <wp:anchor distT="0" distB="0" distL="114300" distR="114300" simplePos="0" relativeHeight="251673600" behindDoc="0" locked="0" layoutInCell="1" allowOverlap="1" wp14:anchorId="49D05458" wp14:editId="57B53A35">
            <wp:simplePos x="0" y="0"/>
            <wp:positionH relativeFrom="margin">
              <wp:align>left</wp:align>
            </wp:positionH>
            <wp:positionV relativeFrom="paragraph">
              <wp:posOffset>6985</wp:posOffset>
            </wp:positionV>
            <wp:extent cx="2120900" cy="1414145"/>
            <wp:effectExtent l="0" t="0" r="0" b="0"/>
            <wp:wrapSquare wrapText="bothSides"/>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20900" cy="1414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6157">
        <w:rPr>
          <w:sz w:val="20"/>
        </w:rPr>
        <w:t xml:space="preserve"> </w:t>
      </w:r>
      <w:r w:rsidRPr="006A6157">
        <w:rPr>
          <w:sz w:val="18"/>
          <w:szCs w:val="18"/>
        </w:rPr>
        <w:t>CMT Cladding Tower: antorcha con aspiración de humo</w:t>
      </w:r>
    </w:p>
    <w:p w14:paraId="7535A2D0" w14:textId="77777777" w:rsidR="006A6157" w:rsidRDefault="006A6157" w:rsidP="006A6157">
      <w:pPr>
        <w:jc w:val="both"/>
        <w:rPr>
          <w:sz w:val="16"/>
          <w:szCs w:val="16"/>
        </w:rPr>
      </w:pPr>
    </w:p>
    <w:p w14:paraId="25B40A7D" w14:textId="77777777" w:rsidR="006A6157" w:rsidRDefault="006A6157" w:rsidP="006A6157">
      <w:pPr>
        <w:jc w:val="both"/>
        <w:rPr>
          <w:sz w:val="16"/>
          <w:szCs w:val="16"/>
        </w:rPr>
      </w:pPr>
    </w:p>
    <w:p w14:paraId="070319E2" w14:textId="77777777" w:rsidR="006A6157" w:rsidRPr="000321DE" w:rsidRDefault="006A6157" w:rsidP="006A6157">
      <w:pPr>
        <w:rPr>
          <w:sz w:val="16"/>
          <w:szCs w:val="16"/>
        </w:rPr>
      </w:pPr>
    </w:p>
    <w:p w14:paraId="1D04969F" w14:textId="77777777" w:rsidR="006A6157" w:rsidRDefault="006A6157" w:rsidP="006A6157">
      <w:pPr>
        <w:rPr>
          <w:sz w:val="16"/>
          <w:szCs w:val="16"/>
        </w:rPr>
      </w:pPr>
    </w:p>
    <w:p w14:paraId="541308FC" w14:textId="77777777" w:rsidR="006A6157" w:rsidRDefault="006A6157" w:rsidP="006A6157">
      <w:pPr>
        <w:rPr>
          <w:sz w:val="16"/>
          <w:szCs w:val="16"/>
        </w:rPr>
      </w:pPr>
    </w:p>
    <w:p w14:paraId="67BB82EC" w14:textId="77777777" w:rsidR="006A6157" w:rsidRDefault="006A6157" w:rsidP="006A6157">
      <w:pPr>
        <w:jc w:val="both"/>
        <w:rPr>
          <w:sz w:val="16"/>
          <w:szCs w:val="16"/>
          <w:highlight w:val="yellow"/>
        </w:rPr>
      </w:pPr>
    </w:p>
    <w:p w14:paraId="6C294D8C" w14:textId="0BBEE5A9" w:rsidR="00ED5042" w:rsidRDefault="00B801F9">
      <w:pPr>
        <w:jc w:val="both"/>
        <w:rPr>
          <w:i/>
          <w:sz w:val="18"/>
        </w:rPr>
      </w:pPr>
      <w:r>
        <w:rPr>
          <w:i/>
          <w:sz w:val="18"/>
        </w:rPr>
        <w:t>Derechos de imagen: Fronius International GmbH, reproducción sin coste alguno</w:t>
      </w:r>
    </w:p>
    <w:p w14:paraId="357D4A74" w14:textId="229E179D" w:rsidR="00141235" w:rsidRDefault="00141235">
      <w:pPr>
        <w:jc w:val="both"/>
        <w:rPr>
          <w:i/>
          <w:sz w:val="18"/>
        </w:rPr>
      </w:pPr>
    </w:p>
    <w:p w14:paraId="466DA817" w14:textId="77777777" w:rsidR="006A6157" w:rsidRDefault="006A6157" w:rsidP="00141235">
      <w:pPr>
        <w:pStyle w:val="berschrift4"/>
        <w:rPr>
          <w:sz w:val="20"/>
          <w:szCs w:val="20"/>
          <w:lang w:val="en-US"/>
        </w:rPr>
      </w:pPr>
    </w:p>
    <w:p w14:paraId="72D665F0" w14:textId="77777777" w:rsidR="006A6157" w:rsidRDefault="006A6157" w:rsidP="00141235">
      <w:pPr>
        <w:pStyle w:val="berschrift4"/>
        <w:rPr>
          <w:sz w:val="20"/>
          <w:szCs w:val="20"/>
          <w:lang w:val="en-US"/>
        </w:rPr>
      </w:pPr>
    </w:p>
    <w:p w14:paraId="51864D2D" w14:textId="77D649B4" w:rsidR="00141235" w:rsidRPr="00141235" w:rsidRDefault="00141235" w:rsidP="00141235">
      <w:pPr>
        <w:pStyle w:val="berschrift4"/>
        <w:rPr>
          <w:sz w:val="20"/>
          <w:szCs w:val="20"/>
          <w:lang w:val="en-US"/>
        </w:rPr>
      </w:pPr>
      <w:r w:rsidRPr="00141235">
        <w:rPr>
          <w:sz w:val="20"/>
          <w:szCs w:val="20"/>
          <w:lang w:val="en-US"/>
        </w:rPr>
        <w:t xml:space="preserve">Unidad de </w:t>
      </w:r>
      <w:proofErr w:type="spellStart"/>
      <w:r w:rsidRPr="00141235">
        <w:rPr>
          <w:sz w:val="20"/>
          <w:szCs w:val="20"/>
          <w:lang w:val="en-US"/>
        </w:rPr>
        <w:t>Negocio</w:t>
      </w:r>
      <w:proofErr w:type="spellEnd"/>
      <w:r w:rsidRPr="00141235">
        <w:rPr>
          <w:sz w:val="20"/>
          <w:szCs w:val="20"/>
          <w:lang w:val="en-US"/>
        </w:rPr>
        <w:t xml:space="preserve"> Perfect Welding</w:t>
      </w:r>
    </w:p>
    <w:p w14:paraId="284B977C" w14:textId="77777777" w:rsidR="00141235" w:rsidRPr="00141235" w:rsidRDefault="00141235" w:rsidP="00141235">
      <w:pPr>
        <w:rPr>
          <w:sz w:val="20"/>
          <w:szCs w:val="20"/>
          <w:lang w:val="en-US"/>
        </w:rPr>
      </w:pPr>
      <w:r w:rsidRPr="00141235">
        <w:rPr>
          <w:sz w:val="20"/>
          <w:szCs w:val="20"/>
          <w:lang w:val="en-US"/>
        </w:rPr>
        <w:t xml:space="preserve">Fronius Perfect Welding es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líder</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innovación</w:t>
      </w:r>
      <w:proofErr w:type="spellEnd"/>
      <w:r w:rsidRPr="00141235">
        <w:rPr>
          <w:sz w:val="20"/>
          <w:szCs w:val="20"/>
          <w:lang w:val="en-US"/>
        </w:rPr>
        <w:t xml:space="preserve"> para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por</w:t>
      </w:r>
      <w:proofErr w:type="spellEnd"/>
      <w:r w:rsidRPr="00141235">
        <w:rPr>
          <w:sz w:val="20"/>
          <w:szCs w:val="20"/>
          <w:lang w:val="en-US"/>
        </w:rPr>
        <w:t xml:space="preserve"> arco </w:t>
      </w:r>
      <w:proofErr w:type="spellStart"/>
      <w:r w:rsidRPr="00141235">
        <w:rPr>
          <w:sz w:val="20"/>
          <w:szCs w:val="20"/>
          <w:lang w:val="en-US"/>
        </w:rPr>
        <w:t>voltaico</w:t>
      </w:r>
      <w:proofErr w:type="spellEnd"/>
      <w:r w:rsidRPr="00141235">
        <w:rPr>
          <w:sz w:val="20"/>
          <w:szCs w:val="20"/>
          <w:lang w:val="en-US"/>
        </w:rPr>
        <w:t xml:space="preserve">, y es </w:t>
      </w:r>
      <w:proofErr w:type="spellStart"/>
      <w:r w:rsidRPr="00141235">
        <w:rPr>
          <w:sz w:val="20"/>
          <w:szCs w:val="20"/>
          <w:lang w:val="en-US"/>
        </w:rPr>
        <w:t>líder</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mercado global para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robótica</w:t>
      </w:r>
      <w:proofErr w:type="spellEnd"/>
      <w:r w:rsidRPr="00141235">
        <w:rPr>
          <w:sz w:val="20"/>
          <w:szCs w:val="20"/>
          <w:lang w:val="en-US"/>
        </w:rPr>
        <w:t xml:space="preserve">. Como </w:t>
      </w:r>
      <w:proofErr w:type="spellStart"/>
      <w:r w:rsidRPr="00141235">
        <w:rPr>
          <w:sz w:val="20"/>
          <w:szCs w:val="20"/>
          <w:lang w:val="en-US"/>
        </w:rPr>
        <w:t>proveedor</w:t>
      </w:r>
      <w:proofErr w:type="spellEnd"/>
      <w:r w:rsidRPr="00141235">
        <w:rPr>
          <w:sz w:val="20"/>
          <w:szCs w:val="20"/>
          <w:lang w:val="en-US"/>
        </w:rPr>
        <w:t xml:space="preserve"> de </w:t>
      </w:r>
      <w:proofErr w:type="spellStart"/>
      <w:r w:rsidRPr="00141235">
        <w:rPr>
          <w:sz w:val="20"/>
          <w:szCs w:val="20"/>
          <w:lang w:val="en-US"/>
        </w:rPr>
        <w:t>Sistemas</w:t>
      </w:r>
      <w:proofErr w:type="spellEnd"/>
      <w:r w:rsidRPr="00141235">
        <w:rPr>
          <w:sz w:val="20"/>
          <w:szCs w:val="20"/>
          <w:lang w:val="en-US"/>
        </w:rPr>
        <w:t xml:space="preserve">. Fronius welding automation </w:t>
      </w:r>
      <w:proofErr w:type="spellStart"/>
      <w:r w:rsidRPr="00141235">
        <w:rPr>
          <w:sz w:val="20"/>
          <w:szCs w:val="20"/>
          <w:lang w:val="en-US"/>
        </w:rPr>
        <w:t>convierte</w:t>
      </w:r>
      <w:proofErr w:type="spellEnd"/>
      <w:r w:rsidRPr="00141235">
        <w:rPr>
          <w:sz w:val="20"/>
          <w:szCs w:val="20"/>
          <w:lang w:val="en-US"/>
        </w:rPr>
        <w:t xml:space="preserve"> las </w:t>
      </w:r>
      <w:proofErr w:type="spellStart"/>
      <w:r w:rsidRPr="00141235">
        <w:rPr>
          <w:sz w:val="20"/>
          <w:szCs w:val="20"/>
          <w:lang w:val="en-US"/>
        </w:rPr>
        <w:t>soluciones</w:t>
      </w:r>
      <w:proofErr w:type="spellEnd"/>
      <w:r w:rsidRPr="00141235">
        <w:rPr>
          <w:sz w:val="20"/>
          <w:szCs w:val="20"/>
          <w:lang w:val="en-US"/>
        </w:rPr>
        <w:t xml:space="preserve"> de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automatizada</w:t>
      </w:r>
      <w:proofErr w:type="spellEnd"/>
      <w:r w:rsidRPr="00141235">
        <w:rPr>
          <w:sz w:val="20"/>
          <w:szCs w:val="20"/>
          <w:lang w:val="en-US"/>
        </w:rPr>
        <w:t xml:space="preserve"> </w:t>
      </w:r>
      <w:proofErr w:type="spellStart"/>
      <w:r w:rsidRPr="00141235">
        <w:rPr>
          <w:sz w:val="20"/>
          <w:szCs w:val="20"/>
          <w:lang w:val="en-US"/>
        </w:rPr>
        <w:t>específicas</w:t>
      </w:r>
      <w:proofErr w:type="spellEnd"/>
      <w:r w:rsidRPr="00141235">
        <w:rPr>
          <w:sz w:val="20"/>
          <w:szCs w:val="20"/>
          <w:lang w:val="en-US"/>
        </w:rPr>
        <w:t xml:space="preserve"> para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cliente</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una</w:t>
      </w:r>
      <w:proofErr w:type="spellEnd"/>
      <w:r w:rsidRPr="00141235">
        <w:rPr>
          <w:sz w:val="20"/>
          <w:szCs w:val="20"/>
          <w:lang w:val="en-US"/>
        </w:rPr>
        <w:t xml:space="preserve"> </w:t>
      </w:r>
      <w:proofErr w:type="spellStart"/>
      <w:r w:rsidRPr="00141235">
        <w:rPr>
          <w:sz w:val="20"/>
          <w:szCs w:val="20"/>
          <w:lang w:val="en-US"/>
        </w:rPr>
        <w:t>realidad</w:t>
      </w:r>
      <w:proofErr w:type="spellEnd"/>
      <w:r w:rsidRPr="00141235">
        <w:rPr>
          <w:sz w:val="20"/>
          <w:szCs w:val="20"/>
          <w:lang w:val="en-US"/>
        </w:rPr>
        <w:t xml:space="preserve"> para </w:t>
      </w:r>
      <w:proofErr w:type="spellStart"/>
      <w:r w:rsidRPr="00141235">
        <w:rPr>
          <w:sz w:val="20"/>
          <w:szCs w:val="20"/>
          <w:lang w:val="en-US"/>
        </w:rPr>
        <w:t>diferentes</w:t>
      </w:r>
      <w:proofErr w:type="spellEnd"/>
      <w:r w:rsidRPr="00141235">
        <w:rPr>
          <w:sz w:val="20"/>
          <w:szCs w:val="20"/>
          <w:lang w:val="en-US"/>
        </w:rPr>
        <w:t xml:space="preserve"> </w:t>
      </w:r>
      <w:proofErr w:type="spellStart"/>
      <w:r w:rsidRPr="00141235">
        <w:rPr>
          <w:sz w:val="20"/>
          <w:szCs w:val="20"/>
          <w:lang w:val="en-US"/>
        </w:rPr>
        <w:t>áreas</w:t>
      </w:r>
      <w:proofErr w:type="spellEnd"/>
      <w:r w:rsidRPr="00141235">
        <w:rPr>
          <w:sz w:val="20"/>
          <w:szCs w:val="20"/>
          <w:lang w:val="en-US"/>
        </w:rPr>
        <w:t xml:space="preserve">, </w:t>
      </w:r>
      <w:proofErr w:type="spellStart"/>
      <w:r w:rsidRPr="00141235">
        <w:rPr>
          <w:sz w:val="20"/>
          <w:szCs w:val="20"/>
          <w:lang w:val="en-US"/>
        </w:rPr>
        <w:t>desde</w:t>
      </w:r>
      <w:proofErr w:type="spellEnd"/>
      <w:r w:rsidRPr="00141235">
        <w:rPr>
          <w:sz w:val="20"/>
          <w:szCs w:val="20"/>
          <w:lang w:val="en-US"/>
        </w:rPr>
        <w:t xml:space="preserve"> la </w:t>
      </w:r>
      <w:proofErr w:type="spellStart"/>
      <w:r w:rsidRPr="00141235">
        <w:rPr>
          <w:sz w:val="20"/>
          <w:szCs w:val="20"/>
          <w:lang w:val="en-US"/>
        </w:rPr>
        <w:t>construcción</w:t>
      </w:r>
      <w:proofErr w:type="spellEnd"/>
      <w:r w:rsidRPr="00141235">
        <w:rPr>
          <w:sz w:val="20"/>
          <w:szCs w:val="20"/>
          <w:lang w:val="en-US"/>
        </w:rPr>
        <w:t xml:space="preserve"> de </w:t>
      </w:r>
      <w:proofErr w:type="spellStart"/>
      <w:r w:rsidRPr="00141235">
        <w:rPr>
          <w:sz w:val="20"/>
          <w:szCs w:val="20"/>
          <w:lang w:val="en-US"/>
        </w:rPr>
        <w:t>contenedores</w:t>
      </w:r>
      <w:proofErr w:type="spellEnd"/>
      <w:r w:rsidRPr="00141235">
        <w:rPr>
          <w:sz w:val="20"/>
          <w:szCs w:val="20"/>
          <w:lang w:val="en-US"/>
        </w:rPr>
        <w:t xml:space="preserve"> hasta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revestimiento</w:t>
      </w:r>
      <w:proofErr w:type="spellEnd"/>
      <w:r w:rsidRPr="00141235">
        <w:rPr>
          <w:sz w:val="20"/>
          <w:szCs w:val="20"/>
          <w:lang w:val="en-US"/>
        </w:rPr>
        <w:t xml:space="preserve"> para </w:t>
      </w:r>
      <w:proofErr w:type="spellStart"/>
      <w:r w:rsidRPr="00141235">
        <w:rPr>
          <w:sz w:val="20"/>
          <w:szCs w:val="20"/>
          <w:lang w:val="en-US"/>
        </w:rPr>
        <w:t>el</w:t>
      </w:r>
      <w:proofErr w:type="spellEnd"/>
      <w:r w:rsidRPr="00141235">
        <w:rPr>
          <w:sz w:val="20"/>
          <w:szCs w:val="20"/>
          <w:lang w:val="en-US"/>
        </w:rPr>
        <w:t xml:space="preserve"> sector offshore. Las </w:t>
      </w:r>
      <w:proofErr w:type="spellStart"/>
      <w:r w:rsidRPr="00141235">
        <w:rPr>
          <w:sz w:val="20"/>
          <w:szCs w:val="20"/>
          <w:lang w:val="en-US"/>
        </w:rPr>
        <w:t>fuentes</w:t>
      </w:r>
      <w:proofErr w:type="spellEnd"/>
      <w:r w:rsidRPr="00141235">
        <w:rPr>
          <w:sz w:val="20"/>
          <w:szCs w:val="20"/>
          <w:lang w:val="en-US"/>
        </w:rPr>
        <w:t xml:space="preserve"> de </w:t>
      </w:r>
      <w:proofErr w:type="spellStart"/>
      <w:r w:rsidRPr="00141235">
        <w:rPr>
          <w:sz w:val="20"/>
          <w:szCs w:val="20"/>
          <w:lang w:val="en-US"/>
        </w:rPr>
        <w:t>corriente</w:t>
      </w:r>
      <w:proofErr w:type="spellEnd"/>
      <w:r w:rsidRPr="00141235">
        <w:rPr>
          <w:sz w:val="20"/>
          <w:szCs w:val="20"/>
          <w:lang w:val="en-US"/>
        </w:rPr>
        <w:t xml:space="preserve"> para </w:t>
      </w:r>
      <w:proofErr w:type="spellStart"/>
      <w:r w:rsidRPr="00141235">
        <w:rPr>
          <w:sz w:val="20"/>
          <w:szCs w:val="20"/>
          <w:lang w:val="en-US"/>
        </w:rPr>
        <w:t>aplicaciones</w:t>
      </w:r>
      <w:proofErr w:type="spellEnd"/>
      <w:r w:rsidRPr="00141235">
        <w:rPr>
          <w:sz w:val="20"/>
          <w:szCs w:val="20"/>
          <w:lang w:val="en-US"/>
        </w:rPr>
        <w:t xml:space="preserve"> </w:t>
      </w:r>
      <w:proofErr w:type="spellStart"/>
      <w:r w:rsidRPr="00141235">
        <w:rPr>
          <w:sz w:val="20"/>
          <w:szCs w:val="20"/>
          <w:lang w:val="en-US"/>
        </w:rPr>
        <w:t>manuales</w:t>
      </w:r>
      <w:proofErr w:type="spellEnd"/>
      <w:r w:rsidRPr="00141235">
        <w:rPr>
          <w:sz w:val="20"/>
          <w:szCs w:val="20"/>
          <w:lang w:val="en-US"/>
        </w:rPr>
        <w:t xml:space="preserve">, </w:t>
      </w:r>
      <w:proofErr w:type="spellStart"/>
      <w:r w:rsidRPr="00141235">
        <w:rPr>
          <w:sz w:val="20"/>
          <w:szCs w:val="20"/>
          <w:lang w:val="en-US"/>
        </w:rPr>
        <w:t>los</w:t>
      </w:r>
      <w:proofErr w:type="spellEnd"/>
      <w:r w:rsidRPr="00141235">
        <w:rPr>
          <w:sz w:val="20"/>
          <w:szCs w:val="20"/>
          <w:lang w:val="en-US"/>
        </w:rPr>
        <w:t xml:space="preserve"> </w:t>
      </w:r>
      <w:proofErr w:type="spellStart"/>
      <w:r w:rsidRPr="00141235">
        <w:rPr>
          <w:sz w:val="20"/>
          <w:szCs w:val="20"/>
          <w:lang w:val="en-US"/>
        </w:rPr>
        <w:t>accesorios</w:t>
      </w:r>
      <w:proofErr w:type="spellEnd"/>
      <w:r w:rsidRPr="00141235">
        <w:rPr>
          <w:sz w:val="20"/>
          <w:szCs w:val="20"/>
          <w:lang w:val="en-US"/>
        </w:rPr>
        <w:t xml:space="preserve"> de </w:t>
      </w:r>
      <w:proofErr w:type="spellStart"/>
      <w:r w:rsidRPr="00141235">
        <w:rPr>
          <w:sz w:val="20"/>
          <w:szCs w:val="20"/>
          <w:lang w:val="en-US"/>
        </w:rPr>
        <w:t>soldadura</w:t>
      </w:r>
      <w:proofErr w:type="spellEnd"/>
      <w:r w:rsidRPr="00141235">
        <w:rPr>
          <w:sz w:val="20"/>
          <w:szCs w:val="20"/>
          <w:lang w:val="en-US"/>
        </w:rPr>
        <w:t xml:space="preserve"> y un </w:t>
      </w:r>
      <w:proofErr w:type="spellStart"/>
      <w:r w:rsidRPr="00141235">
        <w:rPr>
          <w:sz w:val="20"/>
          <w:szCs w:val="20"/>
          <w:lang w:val="en-US"/>
        </w:rPr>
        <w:t>amplio</w:t>
      </w:r>
      <w:proofErr w:type="spellEnd"/>
      <w:r w:rsidRPr="00141235">
        <w:rPr>
          <w:sz w:val="20"/>
          <w:szCs w:val="20"/>
          <w:lang w:val="en-US"/>
        </w:rPr>
        <w:t xml:space="preserve"> </w:t>
      </w:r>
      <w:proofErr w:type="spellStart"/>
      <w:r w:rsidRPr="00141235">
        <w:rPr>
          <w:sz w:val="20"/>
          <w:szCs w:val="20"/>
          <w:lang w:val="en-US"/>
        </w:rPr>
        <w:t>rango</w:t>
      </w:r>
      <w:proofErr w:type="spellEnd"/>
      <w:r w:rsidRPr="00141235">
        <w:rPr>
          <w:sz w:val="20"/>
          <w:szCs w:val="20"/>
          <w:lang w:val="en-US"/>
        </w:rPr>
        <w:t xml:space="preserve"> de </w:t>
      </w:r>
      <w:proofErr w:type="spellStart"/>
      <w:r w:rsidRPr="00141235">
        <w:rPr>
          <w:sz w:val="20"/>
          <w:szCs w:val="20"/>
          <w:lang w:val="en-US"/>
        </w:rPr>
        <w:t>servicios</w:t>
      </w:r>
      <w:proofErr w:type="spellEnd"/>
      <w:r w:rsidRPr="00141235">
        <w:rPr>
          <w:sz w:val="20"/>
          <w:szCs w:val="20"/>
          <w:lang w:val="en-US"/>
        </w:rPr>
        <w:t xml:space="preserve"> </w:t>
      </w:r>
      <w:proofErr w:type="spellStart"/>
      <w:r w:rsidRPr="00141235">
        <w:rPr>
          <w:sz w:val="20"/>
          <w:szCs w:val="20"/>
          <w:lang w:val="en-US"/>
        </w:rPr>
        <w:t>adicionados</w:t>
      </w:r>
      <w:proofErr w:type="spellEnd"/>
      <w:r w:rsidRPr="00141235">
        <w:rPr>
          <w:sz w:val="20"/>
          <w:szCs w:val="20"/>
          <w:lang w:val="en-US"/>
        </w:rPr>
        <w:t xml:space="preserve"> a </w:t>
      </w:r>
      <w:proofErr w:type="spellStart"/>
      <w:r w:rsidRPr="00141235">
        <w:rPr>
          <w:sz w:val="20"/>
          <w:szCs w:val="20"/>
          <w:lang w:val="en-US"/>
        </w:rPr>
        <w:t>nuestra</w:t>
      </w:r>
      <w:proofErr w:type="spellEnd"/>
      <w:r w:rsidRPr="00141235">
        <w:rPr>
          <w:sz w:val="20"/>
          <w:szCs w:val="20"/>
          <w:lang w:val="en-US"/>
        </w:rPr>
        <w:t xml:space="preserve"> </w:t>
      </w:r>
      <w:proofErr w:type="spellStart"/>
      <w:r w:rsidRPr="00141235">
        <w:rPr>
          <w:sz w:val="20"/>
          <w:szCs w:val="20"/>
          <w:lang w:val="en-US"/>
        </w:rPr>
        <w:t>cartera</w:t>
      </w:r>
      <w:proofErr w:type="spellEnd"/>
      <w:r w:rsidRPr="00141235">
        <w:rPr>
          <w:sz w:val="20"/>
          <w:szCs w:val="20"/>
          <w:lang w:val="en-US"/>
        </w:rPr>
        <w:t xml:space="preserve">. Con </w:t>
      </w:r>
      <w:proofErr w:type="spellStart"/>
      <w:r w:rsidRPr="00141235">
        <w:rPr>
          <w:sz w:val="20"/>
          <w:szCs w:val="20"/>
          <w:lang w:val="en-US"/>
        </w:rPr>
        <w:t>más</w:t>
      </w:r>
      <w:proofErr w:type="spellEnd"/>
      <w:r w:rsidRPr="00141235">
        <w:rPr>
          <w:sz w:val="20"/>
          <w:szCs w:val="20"/>
          <w:lang w:val="en-US"/>
        </w:rPr>
        <w:t xml:space="preserve"> de 1.000 </w:t>
      </w:r>
      <w:proofErr w:type="spellStart"/>
      <w:r w:rsidRPr="00141235">
        <w:rPr>
          <w:sz w:val="20"/>
          <w:szCs w:val="20"/>
          <w:lang w:val="en-US"/>
        </w:rPr>
        <w:t>distribuidores</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todo</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w:t>
      </w:r>
      <w:proofErr w:type="spellStart"/>
      <w:r w:rsidRPr="00141235">
        <w:rPr>
          <w:sz w:val="20"/>
          <w:szCs w:val="20"/>
          <w:lang w:val="en-US"/>
        </w:rPr>
        <w:t>mundo</w:t>
      </w:r>
      <w:proofErr w:type="spellEnd"/>
      <w:r w:rsidRPr="00141235">
        <w:rPr>
          <w:sz w:val="20"/>
          <w:szCs w:val="20"/>
          <w:lang w:val="en-US"/>
        </w:rPr>
        <w:t xml:space="preserve">, Fronius Perfect Welding </w:t>
      </w:r>
      <w:proofErr w:type="spellStart"/>
      <w:r w:rsidRPr="00141235">
        <w:rPr>
          <w:sz w:val="20"/>
          <w:szCs w:val="20"/>
          <w:lang w:val="en-US"/>
        </w:rPr>
        <w:t>siempre</w:t>
      </w:r>
      <w:proofErr w:type="spellEnd"/>
      <w:r w:rsidRPr="00141235">
        <w:rPr>
          <w:sz w:val="20"/>
          <w:szCs w:val="20"/>
          <w:lang w:val="en-US"/>
        </w:rPr>
        <w:t xml:space="preserve"> </w:t>
      </w:r>
      <w:proofErr w:type="spellStart"/>
      <w:r w:rsidRPr="00141235">
        <w:rPr>
          <w:sz w:val="20"/>
          <w:szCs w:val="20"/>
          <w:lang w:val="en-US"/>
        </w:rPr>
        <w:t>está</w:t>
      </w:r>
      <w:proofErr w:type="spellEnd"/>
      <w:r w:rsidRPr="00141235">
        <w:rPr>
          <w:sz w:val="20"/>
          <w:szCs w:val="20"/>
          <w:lang w:val="en-US"/>
        </w:rPr>
        <w:t xml:space="preserve"> </w:t>
      </w:r>
      <w:proofErr w:type="spellStart"/>
      <w:r w:rsidRPr="00141235">
        <w:rPr>
          <w:sz w:val="20"/>
          <w:szCs w:val="20"/>
          <w:lang w:val="en-US"/>
        </w:rPr>
        <w:t>cerca</w:t>
      </w:r>
      <w:proofErr w:type="spellEnd"/>
      <w:r w:rsidRPr="00141235">
        <w:rPr>
          <w:sz w:val="20"/>
          <w:szCs w:val="20"/>
          <w:lang w:val="en-US"/>
        </w:rPr>
        <w:t xml:space="preserve"> de sus </w:t>
      </w:r>
      <w:proofErr w:type="spellStart"/>
      <w:r w:rsidRPr="00141235">
        <w:rPr>
          <w:sz w:val="20"/>
          <w:szCs w:val="20"/>
          <w:lang w:val="en-US"/>
        </w:rPr>
        <w:t>clientes</w:t>
      </w:r>
      <w:proofErr w:type="spellEnd"/>
      <w:r w:rsidRPr="00141235">
        <w:rPr>
          <w:sz w:val="20"/>
          <w:szCs w:val="20"/>
          <w:lang w:val="en-US"/>
        </w:rPr>
        <w:t xml:space="preserve">. </w:t>
      </w:r>
    </w:p>
    <w:p w14:paraId="0DC8A17C" w14:textId="77777777" w:rsidR="00141235" w:rsidRDefault="00141235" w:rsidP="00141235">
      <w:pPr>
        <w:pStyle w:val="berschrift4"/>
        <w:jc w:val="both"/>
        <w:rPr>
          <w:sz w:val="20"/>
          <w:szCs w:val="20"/>
        </w:rPr>
      </w:pPr>
    </w:p>
    <w:p w14:paraId="68003D3D" w14:textId="2C5D2E5E" w:rsidR="00141235" w:rsidRPr="00141235" w:rsidRDefault="00141235" w:rsidP="00141235">
      <w:pPr>
        <w:pStyle w:val="berschrift4"/>
        <w:jc w:val="both"/>
        <w:rPr>
          <w:sz w:val="20"/>
          <w:szCs w:val="20"/>
        </w:rPr>
      </w:pPr>
      <w:r w:rsidRPr="00141235">
        <w:rPr>
          <w:sz w:val="20"/>
          <w:szCs w:val="20"/>
        </w:rPr>
        <w:t>Fronius International GmbH</w:t>
      </w:r>
    </w:p>
    <w:p w14:paraId="6C3A4844" w14:textId="77777777" w:rsidR="00141235" w:rsidRPr="00141235" w:rsidRDefault="00141235" w:rsidP="00141235">
      <w:pPr>
        <w:rPr>
          <w:sz w:val="20"/>
          <w:szCs w:val="20"/>
          <w:lang w:val="en-US"/>
        </w:rPr>
      </w:pPr>
      <w:r w:rsidRPr="00141235">
        <w:rPr>
          <w:sz w:val="20"/>
          <w:szCs w:val="20"/>
        </w:rPr>
        <w:t xml:space="preserve">Fronius International GmbH es una empresa austriaca con sede en Pettenbach e instalaciones en Wels, Thalheim, Steinhaus y Sattledt. </w:t>
      </w:r>
      <w:r w:rsidRPr="00141235">
        <w:rPr>
          <w:sz w:val="20"/>
          <w:szCs w:val="20"/>
          <w:lang w:val="en-US"/>
        </w:rPr>
        <w:t xml:space="preserve">La </w:t>
      </w:r>
      <w:proofErr w:type="spellStart"/>
      <w:r w:rsidRPr="00141235">
        <w:rPr>
          <w:sz w:val="20"/>
          <w:szCs w:val="20"/>
          <w:lang w:val="en-US"/>
        </w:rPr>
        <w:t>empresa</w:t>
      </w:r>
      <w:proofErr w:type="spellEnd"/>
      <w:r w:rsidRPr="00141235">
        <w:rPr>
          <w:sz w:val="20"/>
          <w:szCs w:val="20"/>
          <w:lang w:val="en-US"/>
        </w:rPr>
        <w:t xml:space="preserve"> con sus 6.100 </w:t>
      </w:r>
      <w:proofErr w:type="spellStart"/>
      <w:r w:rsidRPr="00141235">
        <w:rPr>
          <w:sz w:val="20"/>
          <w:szCs w:val="20"/>
          <w:lang w:val="en-US"/>
        </w:rPr>
        <w:t>empleados</w:t>
      </w:r>
      <w:proofErr w:type="spellEnd"/>
      <w:r w:rsidRPr="00141235">
        <w:rPr>
          <w:sz w:val="20"/>
          <w:szCs w:val="20"/>
          <w:lang w:val="en-US"/>
        </w:rPr>
        <w:t xml:space="preserve"> a </w:t>
      </w:r>
      <w:proofErr w:type="spellStart"/>
      <w:r w:rsidRPr="00141235">
        <w:rPr>
          <w:sz w:val="20"/>
          <w:szCs w:val="20"/>
          <w:lang w:val="en-US"/>
        </w:rPr>
        <w:t>nivel</w:t>
      </w:r>
      <w:proofErr w:type="spellEnd"/>
      <w:r w:rsidRPr="00141235">
        <w:rPr>
          <w:sz w:val="20"/>
          <w:szCs w:val="20"/>
          <w:lang w:val="en-US"/>
        </w:rPr>
        <w:t xml:space="preserve"> global se </w:t>
      </w:r>
      <w:proofErr w:type="spellStart"/>
      <w:r w:rsidRPr="00141235">
        <w:rPr>
          <w:sz w:val="20"/>
          <w:szCs w:val="20"/>
          <w:lang w:val="en-US"/>
        </w:rPr>
        <w:t>dedica</w:t>
      </w:r>
      <w:proofErr w:type="spellEnd"/>
      <w:r w:rsidRPr="00141235">
        <w:rPr>
          <w:sz w:val="20"/>
          <w:szCs w:val="20"/>
          <w:lang w:val="en-US"/>
        </w:rPr>
        <w:t xml:space="preserve"> a </w:t>
      </w:r>
      <w:proofErr w:type="spellStart"/>
      <w:r w:rsidRPr="00141235">
        <w:rPr>
          <w:sz w:val="20"/>
          <w:szCs w:val="20"/>
          <w:lang w:val="en-US"/>
        </w:rPr>
        <w:t>los</w:t>
      </w:r>
      <w:proofErr w:type="spellEnd"/>
      <w:r w:rsidRPr="00141235">
        <w:rPr>
          <w:sz w:val="20"/>
          <w:szCs w:val="20"/>
          <w:lang w:val="en-US"/>
        </w:rPr>
        <w:t xml:space="preserve"> </w:t>
      </w:r>
      <w:proofErr w:type="spellStart"/>
      <w:r w:rsidRPr="00141235">
        <w:rPr>
          <w:sz w:val="20"/>
          <w:szCs w:val="20"/>
          <w:lang w:val="en-US"/>
        </w:rPr>
        <w:t>sectores</w:t>
      </w:r>
      <w:proofErr w:type="spellEnd"/>
      <w:r w:rsidRPr="00141235">
        <w:rPr>
          <w:sz w:val="20"/>
          <w:szCs w:val="20"/>
          <w:lang w:val="en-US"/>
        </w:rPr>
        <w:t xml:space="preserve"> de </w:t>
      </w:r>
      <w:proofErr w:type="spellStart"/>
      <w:r w:rsidRPr="00141235">
        <w:rPr>
          <w:sz w:val="20"/>
          <w:szCs w:val="20"/>
          <w:lang w:val="en-US"/>
        </w:rPr>
        <w:t>tecnología</w:t>
      </w:r>
      <w:proofErr w:type="spellEnd"/>
      <w:r w:rsidRPr="00141235">
        <w:rPr>
          <w:sz w:val="20"/>
          <w:szCs w:val="20"/>
          <w:lang w:val="en-US"/>
        </w:rPr>
        <w:t xml:space="preserve"> de </w:t>
      </w:r>
      <w:proofErr w:type="spellStart"/>
      <w:r w:rsidRPr="00141235">
        <w:rPr>
          <w:sz w:val="20"/>
          <w:szCs w:val="20"/>
          <w:lang w:val="en-US"/>
        </w:rPr>
        <w:t>soldadura</w:t>
      </w:r>
      <w:proofErr w:type="spellEnd"/>
      <w:r w:rsidRPr="00141235">
        <w:rPr>
          <w:sz w:val="20"/>
          <w:szCs w:val="20"/>
          <w:lang w:val="en-US"/>
        </w:rPr>
        <w:t xml:space="preserve">, </w:t>
      </w:r>
      <w:proofErr w:type="spellStart"/>
      <w:r w:rsidRPr="00141235">
        <w:rPr>
          <w:sz w:val="20"/>
          <w:szCs w:val="20"/>
          <w:lang w:val="en-US"/>
        </w:rPr>
        <w:t>fotovoltaica</w:t>
      </w:r>
      <w:proofErr w:type="spellEnd"/>
      <w:r w:rsidRPr="00141235">
        <w:rPr>
          <w:sz w:val="20"/>
          <w:szCs w:val="20"/>
          <w:lang w:val="en-US"/>
        </w:rPr>
        <w:t xml:space="preserve"> y </w:t>
      </w:r>
      <w:proofErr w:type="spellStart"/>
      <w:r w:rsidRPr="00141235">
        <w:rPr>
          <w:sz w:val="20"/>
          <w:szCs w:val="20"/>
          <w:lang w:val="en-US"/>
        </w:rPr>
        <w:t>tecnología</w:t>
      </w:r>
      <w:proofErr w:type="spellEnd"/>
      <w:r w:rsidRPr="00141235">
        <w:rPr>
          <w:sz w:val="20"/>
          <w:szCs w:val="20"/>
          <w:lang w:val="en-US"/>
        </w:rPr>
        <w:t xml:space="preserve"> de carga de </w:t>
      </w:r>
      <w:proofErr w:type="spellStart"/>
      <w:r w:rsidRPr="00141235">
        <w:rPr>
          <w:sz w:val="20"/>
          <w:szCs w:val="20"/>
          <w:lang w:val="en-US"/>
        </w:rPr>
        <w:t>baterías</w:t>
      </w:r>
      <w:proofErr w:type="spellEnd"/>
      <w:r w:rsidRPr="00141235">
        <w:rPr>
          <w:sz w:val="20"/>
          <w:szCs w:val="20"/>
          <w:lang w:val="en-US"/>
        </w:rPr>
        <w:t xml:space="preserve">. El </w:t>
      </w:r>
      <w:proofErr w:type="spellStart"/>
      <w:r w:rsidRPr="00141235">
        <w:rPr>
          <w:sz w:val="20"/>
          <w:szCs w:val="20"/>
          <w:lang w:val="en-US"/>
        </w:rPr>
        <w:t>porcentaje</w:t>
      </w:r>
      <w:proofErr w:type="spellEnd"/>
      <w:r w:rsidRPr="00141235">
        <w:rPr>
          <w:sz w:val="20"/>
          <w:szCs w:val="20"/>
          <w:lang w:val="en-US"/>
        </w:rPr>
        <w:t xml:space="preserve"> de </w:t>
      </w:r>
      <w:proofErr w:type="spellStart"/>
      <w:r w:rsidRPr="00141235">
        <w:rPr>
          <w:sz w:val="20"/>
          <w:szCs w:val="20"/>
          <w:lang w:val="en-US"/>
        </w:rPr>
        <w:t>exportación</w:t>
      </w:r>
      <w:proofErr w:type="spellEnd"/>
      <w:r w:rsidRPr="00141235">
        <w:rPr>
          <w:sz w:val="20"/>
          <w:szCs w:val="20"/>
          <w:lang w:val="en-US"/>
        </w:rPr>
        <w:t xml:space="preserve"> es de </w:t>
      </w:r>
      <w:proofErr w:type="spellStart"/>
      <w:r w:rsidRPr="00141235">
        <w:rPr>
          <w:sz w:val="20"/>
          <w:szCs w:val="20"/>
          <w:lang w:val="en-US"/>
        </w:rPr>
        <w:t>aproximadamente</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89 </w:t>
      </w:r>
      <w:proofErr w:type="spellStart"/>
      <w:r w:rsidRPr="00141235">
        <w:rPr>
          <w:sz w:val="20"/>
          <w:szCs w:val="20"/>
          <w:lang w:val="en-US"/>
        </w:rPr>
        <w:t>por</w:t>
      </w:r>
      <w:proofErr w:type="spellEnd"/>
      <w:r w:rsidRPr="00141235">
        <w:rPr>
          <w:sz w:val="20"/>
          <w:szCs w:val="20"/>
          <w:lang w:val="en-US"/>
        </w:rPr>
        <w:t xml:space="preserve"> </w:t>
      </w:r>
      <w:proofErr w:type="spellStart"/>
      <w:r w:rsidRPr="00141235">
        <w:rPr>
          <w:sz w:val="20"/>
          <w:szCs w:val="20"/>
          <w:lang w:val="en-US"/>
        </w:rPr>
        <w:t>ciento</w:t>
      </w:r>
      <w:proofErr w:type="spellEnd"/>
      <w:r w:rsidRPr="00141235">
        <w:rPr>
          <w:sz w:val="20"/>
          <w:szCs w:val="20"/>
          <w:lang w:val="en-US"/>
        </w:rPr>
        <w:t xml:space="preserve"> y se </w:t>
      </w:r>
      <w:proofErr w:type="spellStart"/>
      <w:r w:rsidRPr="00141235">
        <w:rPr>
          <w:sz w:val="20"/>
          <w:szCs w:val="20"/>
          <w:lang w:val="en-US"/>
        </w:rPr>
        <w:t>consigue</w:t>
      </w:r>
      <w:proofErr w:type="spellEnd"/>
      <w:r w:rsidRPr="00141235">
        <w:rPr>
          <w:sz w:val="20"/>
          <w:szCs w:val="20"/>
          <w:lang w:val="en-US"/>
        </w:rPr>
        <w:t xml:space="preserve"> gracias a las 36 </w:t>
      </w:r>
      <w:proofErr w:type="spellStart"/>
      <w:r w:rsidRPr="00141235">
        <w:rPr>
          <w:sz w:val="20"/>
          <w:szCs w:val="20"/>
          <w:lang w:val="en-US"/>
        </w:rPr>
        <w:t>sociedades</w:t>
      </w:r>
      <w:proofErr w:type="spellEnd"/>
      <w:r w:rsidRPr="00141235">
        <w:rPr>
          <w:sz w:val="20"/>
          <w:szCs w:val="20"/>
          <w:lang w:val="en-US"/>
        </w:rPr>
        <w:t xml:space="preserve"> </w:t>
      </w:r>
      <w:proofErr w:type="spellStart"/>
      <w:r w:rsidRPr="00141235">
        <w:rPr>
          <w:sz w:val="20"/>
          <w:szCs w:val="20"/>
          <w:lang w:val="en-US"/>
        </w:rPr>
        <w:t>internacionales</w:t>
      </w:r>
      <w:proofErr w:type="spellEnd"/>
      <w:r w:rsidRPr="00141235">
        <w:rPr>
          <w:sz w:val="20"/>
          <w:szCs w:val="20"/>
          <w:lang w:val="en-US"/>
        </w:rPr>
        <w:t xml:space="preserve"> de Fronius y </w:t>
      </w:r>
      <w:proofErr w:type="spellStart"/>
      <w:r w:rsidRPr="00141235">
        <w:rPr>
          <w:sz w:val="20"/>
          <w:szCs w:val="20"/>
          <w:lang w:val="en-US"/>
        </w:rPr>
        <w:t>distribuidores</w:t>
      </w:r>
      <w:proofErr w:type="spellEnd"/>
      <w:r w:rsidRPr="00141235">
        <w:rPr>
          <w:sz w:val="20"/>
          <w:szCs w:val="20"/>
          <w:lang w:val="en-US"/>
        </w:rPr>
        <w:t>/</w:t>
      </w:r>
      <w:proofErr w:type="spellStart"/>
      <w:r w:rsidRPr="00141235">
        <w:rPr>
          <w:sz w:val="20"/>
          <w:szCs w:val="20"/>
          <w:lang w:val="en-US"/>
        </w:rPr>
        <w:t>representantes</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más</w:t>
      </w:r>
      <w:proofErr w:type="spellEnd"/>
      <w:r w:rsidRPr="00141235">
        <w:rPr>
          <w:sz w:val="20"/>
          <w:szCs w:val="20"/>
          <w:lang w:val="en-US"/>
        </w:rPr>
        <w:t xml:space="preserve"> de 60 </w:t>
      </w:r>
      <w:proofErr w:type="spellStart"/>
      <w:r w:rsidRPr="00141235">
        <w:rPr>
          <w:sz w:val="20"/>
          <w:szCs w:val="20"/>
          <w:lang w:val="en-US"/>
        </w:rPr>
        <w:t>países</w:t>
      </w:r>
      <w:proofErr w:type="spellEnd"/>
      <w:r w:rsidRPr="00141235">
        <w:rPr>
          <w:sz w:val="20"/>
          <w:szCs w:val="20"/>
          <w:lang w:val="en-US"/>
        </w:rPr>
        <w:t xml:space="preserve">. Fronius es </w:t>
      </w:r>
      <w:proofErr w:type="spellStart"/>
      <w:r w:rsidRPr="00141235">
        <w:rPr>
          <w:sz w:val="20"/>
          <w:szCs w:val="20"/>
          <w:lang w:val="en-US"/>
        </w:rPr>
        <w:t>líder</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innovación</w:t>
      </w:r>
      <w:proofErr w:type="spellEnd"/>
      <w:r w:rsidRPr="00141235">
        <w:rPr>
          <w:sz w:val="20"/>
          <w:szCs w:val="20"/>
          <w:lang w:val="en-US"/>
        </w:rPr>
        <w:t xml:space="preserve"> </w:t>
      </w:r>
      <w:proofErr w:type="spellStart"/>
      <w:r w:rsidRPr="00141235">
        <w:rPr>
          <w:sz w:val="20"/>
          <w:szCs w:val="20"/>
          <w:lang w:val="en-US"/>
        </w:rPr>
        <w:t>en</w:t>
      </w:r>
      <w:proofErr w:type="spellEnd"/>
      <w:r w:rsidRPr="00141235">
        <w:rPr>
          <w:sz w:val="20"/>
          <w:szCs w:val="20"/>
          <w:lang w:val="en-US"/>
        </w:rPr>
        <w:t xml:space="preserve"> </w:t>
      </w:r>
      <w:proofErr w:type="spellStart"/>
      <w:r w:rsidRPr="00141235">
        <w:rPr>
          <w:sz w:val="20"/>
          <w:szCs w:val="20"/>
          <w:lang w:val="en-US"/>
        </w:rPr>
        <w:t>el</w:t>
      </w:r>
      <w:proofErr w:type="spellEnd"/>
      <w:r w:rsidRPr="00141235">
        <w:rPr>
          <w:sz w:val="20"/>
          <w:szCs w:val="20"/>
          <w:lang w:val="en-US"/>
        </w:rPr>
        <w:t xml:space="preserve"> mercado </w:t>
      </w:r>
      <w:proofErr w:type="spellStart"/>
      <w:r w:rsidRPr="00141235">
        <w:rPr>
          <w:sz w:val="20"/>
          <w:szCs w:val="20"/>
          <w:lang w:val="en-US"/>
        </w:rPr>
        <w:t>mundial</w:t>
      </w:r>
      <w:proofErr w:type="spellEnd"/>
      <w:r w:rsidRPr="00141235">
        <w:rPr>
          <w:sz w:val="20"/>
          <w:szCs w:val="20"/>
          <w:lang w:val="en-US"/>
        </w:rPr>
        <w:t xml:space="preserve"> gracias a sus </w:t>
      </w:r>
      <w:proofErr w:type="spellStart"/>
      <w:r w:rsidRPr="00141235">
        <w:rPr>
          <w:sz w:val="20"/>
          <w:szCs w:val="20"/>
          <w:lang w:val="en-US"/>
        </w:rPr>
        <w:t>productos</w:t>
      </w:r>
      <w:proofErr w:type="spellEnd"/>
      <w:r w:rsidRPr="00141235">
        <w:rPr>
          <w:sz w:val="20"/>
          <w:szCs w:val="20"/>
          <w:lang w:val="en-US"/>
        </w:rPr>
        <w:t xml:space="preserve"> </w:t>
      </w:r>
      <w:proofErr w:type="spellStart"/>
      <w:r w:rsidRPr="00141235">
        <w:rPr>
          <w:sz w:val="20"/>
          <w:szCs w:val="20"/>
          <w:lang w:val="en-US"/>
        </w:rPr>
        <w:t>innovadores</w:t>
      </w:r>
      <w:proofErr w:type="spellEnd"/>
      <w:r w:rsidRPr="00141235">
        <w:rPr>
          <w:sz w:val="20"/>
          <w:szCs w:val="20"/>
          <w:lang w:val="en-US"/>
        </w:rPr>
        <w:t xml:space="preserve"> y </w:t>
      </w:r>
      <w:proofErr w:type="spellStart"/>
      <w:r w:rsidRPr="00141235">
        <w:rPr>
          <w:sz w:val="20"/>
          <w:szCs w:val="20"/>
          <w:lang w:val="en-US"/>
        </w:rPr>
        <w:t>servicios</w:t>
      </w:r>
      <w:proofErr w:type="spellEnd"/>
      <w:r w:rsidRPr="00141235">
        <w:rPr>
          <w:sz w:val="20"/>
          <w:szCs w:val="20"/>
          <w:lang w:val="en-US"/>
        </w:rPr>
        <w:t xml:space="preserve">, </w:t>
      </w:r>
      <w:proofErr w:type="spellStart"/>
      <w:r w:rsidRPr="00141235">
        <w:rPr>
          <w:sz w:val="20"/>
          <w:szCs w:val="20"/>
          <w:lang w:val="en-US"/>
        </w:rPr>
        <w:t>así</w:t>
      </w:r>
      <w:proofErr w:type="spellEnd"/>
      <w:r w:rsidRPr="00141235">
        <w:rPr>
          <w:sz w:val="20"/>
          <w:szCs w:val="20"/>
          <w:lang w:val="en-US"/>
        </w:rPr>
        <w:t xml:space="preserve"> </w:t>
      </w:r>
      <w:proofErr w:type="spellStart"/>
      <w:r w:rsidRPr="00141235">
        <w:rPr>
          <w:sz w:val="20"/>
          <w:szCs w:val="20"/>
          <w:lang w:val="en-US"/>
        </w:rPr>
        <w:t>como</w:t>
      </w:r>
      <w:proofErr w:type="spellEnd"/>
      <w:r w:rsidRPr="00141235">
        <w:rPr>
          <w:sz w:val="20"/>
          <w:szCs w:val="20"/>
          <w:lang w:val="en-US"/>
        </w:rPr>
        <w:t xml:space="preserve"> a las 1.366 </w:t>
      </w:r>
      <w:proofErr w:type="spellStart"/>
      <w:r w:rsidRPr="00141235">
        <w:rPr>
          <w:sz w:val="20"/>
          <w:szCs w:val="20"/>
          <w:lang w:val="en-US"/>
        </w:rPr>
        <w:t>patentes</w:t>
      </w:r>
      <w:proofErr w:type="spellEnd"/>
      <w:r w:rsidRPr="00141235">
        <w:rPr>
          <w:sz w:val="20"/>
          <w:szCs w:val="20"/>
          <w:lang w:val="en-US"/>
        </w:rPr>
        <w:t xml:space="preserve"> </w:t>
      </w:r>
      <w:proofErr w:type="spellStart"/>
      <w:r w:rsidRPr="00141235">
        <w:rPr>
          <w:sz w:val="20"/>
          <w:szCs w:val="20"/>
          <w:lang w:val="en-US"/>
        </w:rPr>
        <w:t>concedidas</w:t>
      </w:r>
      <w:proofErr w:type="spellEnd"/>
      <w:r w:rsidRPr="00141235">
        <w:rPr>
          <w:sz w:val="20"/>
          <w:szCs w:val="20"/>
          <w:lang w:val="en-US"/>
        </w:rPr>
        <w:t>.</w:t>
      </w:r>
    </w:p>
    <w:p w14:paraId="12F34341" w14:textId="77777777" w:rsidR="00141235" w:rsidRPr="00141235" w:rsidRDefault="00141235" w:rsidP="00141235">
      <w:pPr>
        <w:rPr>
          <w:sz w:val="20"/>
          <w:szCs w:val="20"/>
          <w:lang w:val="en-US"/>
        </w:rPr>
      </w:pPr>
    </w:p>
    <w:p w14:paraId="1967D37B" w14:textId="77777777" w:rsidR="00141235" w:rsidRPr="00141235" w:rsidRDefault="00141235" w:rsidP="00141235">
      <w:pPr>
        <w:rPr>
          <w:sz w:val="20"/>
          <w:szCs w:val="20"/>
          <w:lang w:val="en-US"/>
        </w:rPr>
      </w:pPr>
      <w:r w:rsidRPr="00141235">
        <w:rPr>
          <w:rFonts w:eastAsiaTheme="majorEastAsia"/>
          <w:iCs/>
          <w:color w:val="000000" w:themeColor="text1"/>
          <w:sz w:val="20"/>
          <w:szCs w:val="20"/>
          <w:u w:val="single"/>
          <w:lang w:val="en-US"/>
        </w:rPr>
        <w:t xml:space="preserve">Para </w:t>
      </w:r>
      <w:proofErr w:type="spellStart"/>
      <w:r w:rsidRPr="00141235">
        <w:rPr>
          <w:rFonts w:eastAsiaTheme="majorEastAsia"/>
          <w:iCs/>
          <w:color w:val="000000" w:themeColor="text1"/>
          <w:sz w:val="20"/>
          <w:szCs w:val="20"/>
          <w:u w:val="single"/>
          <w:lang w:val="en-US"/>
        </w:rPr>
        <w:t>más</w:t>
      </w:r>
      <w:proofErr w:type="spellEnd"/>
      <w:r w:rsidRPr="00141235">
        <w:rPr>
          <w:rFonts w:eastAsiaTheme="majorEastAsia"/>
          <w:iCs/>
          <w:color w:val="000000" w:themeColor="text1"/>
          <w:sz w:val="20"/>
          <w:szCs w:val="20"/>
          <w:u w:val="single"/>
          <w:lang w:val="en-US"/>
        </w:rPr>
        <w:t xml:space="preserve"> </w:t>
      </w:r>
      <w:proofErr w:type="spellStart"/>
      <w:r w:rsidRPr="00141235">
        <w:rPr>
          <w:rFonts w:eastAsiaTheme="majorEastAsia"/>
          <w:iCs/>
          <w:color w:val="000000" w:themeColor="text1"/>
          <w:sz w:val="20"/>
          <w:szCs w:val="20"/>
          <w:u w:val="single"/>
          <w:lang w:val="en-US"/>
        </w:rPr>
        <w:t>información</w:t>
      </w:r>
      <w:proofErr w:type="spellEnd"/>
      <w:r w:rsidRPr="00141235">
        <w:rPr>
          <w:rFonts w:eastAsiaTheme="majorEastAsia"/>
          <w:iCs/>
          <w:color w:val="000000" w:themeColor="text1"/>
          <w:sz w:val="20"/>
          <w:szCs w:val="20"/>
          <w:u w:val="single"/>
          <w:lang w:val="en-US"/>
        </w:rPr>
        <w:t xml:space="preserve">, </w:t>
      </w:r>
      <w:proofErr w:type="spellStart"/>
      <w:r w:rsidRPr="00141235">
        <w:rPr>
          <w:rFonts w:eastAsiaTheme="majorEastAsia"/>
          <w:iCs/>
          <w:color w:val="000000" w:themeColor="text1"/>
          <w:sz w:val="20"/>
          <w:szCs w:val="20"/>
          <w:u w:val="single"/>
          <w:lang w:val="en-US"/>
        </w:rPr>
        <w:t>por</w:t>
      </w:r>
      <w:proofErr w:type="spellEnd"/>
      <w:r w:rsidRPr="00141235">
        <w:rPr>
          <w:rFonts w:eastAsiaTheme="majorEastAsia"/>
          <w:iCs/>
          <w:color w:val="000000" w:themeColor="text1"/>
          <w:sz w:val="20"/>
          <w:szCs w:val="20"/>
          <w:u w:val="single"/>
          <w:lang w:val="en-US"/>
        </w:rPr>
        <w:t xml:space="preserve"> favor </w:t>
      </w:r>
      <w:proofErr w:type="spellStart"/>
      <w:r w:rsidRPr="00141235">
        <w:rPr>
          <w:rFonts w:eastAsiaTheme="majorEastAsia"/>
          <w:iCs/>
          <w:color w:val="000000" w:themeColor="text1"/>
          <w:sz w:val="20"/>
          <w:szCs w:val="20"/>
          <w:u w:val="single"/>
          <w:lang w:val="en-US"/>
        </w:rPr>
        <w:t>diríjase</w:t>
      </w:r>
      <w:proofErr w:type="spellEnd"/>
      <w:r w:rsidRPr="00141235">
        <w:rPr>
          <w:rFonts w:eastAsiaTheme="majorEastAsia"/>
          <w:iCs/>
          <w:color w:val="000000" w:themeColor="text1"/>
          <w:sz w:val="20"/>
          <w:szCs w:val="20"/>
          <w:u w:val="single"/>
          <w:lang w:val="en-US"/>
        </w:rPr>
        <w:t xml:space="preserve"> al:</w:t>
      </w:r>
      <w:r w:rsidRPr="00141235">
        <w:rPr>
          <w:sz w:val="20"/>
          <w:szCs w:val="20"/>
          <w:lang w:val="en-US"/>
        </w:rPr>
        <w:br/>
        <w:t xml:space="preserve">Fronius </w:t>
      </w:r>
      <w:proofErr w:type="spellStart"/>
      <w:r w:rsidRPr="00141235">
        <w:rPr>
          <w:sz w:val="20"/>
          <w:szCs w:val="20"/>
          <w:lang w:val="en-US"/>
        </w:rPr>
        <w:t>España</w:t>
      </w:r>
      <w:proofErr w:type="spellEnd"/>
      <w:r w:rsidRPr="00141235">
        <w:rPr>
          <w:sz w:val="20"/>
          <w:szCs w:val="20"/>
          <w:lang w:val="en-US"/>
        </w:rPr>
        <w:t xml:space="preserve"> S.L.U., Laura González</w:t>
      </w:r>
      <w:r w:rsidRPr="00141235">
        <w:rPr>
          <w:sz w:val="20"/>
          <w:szCs w:val="20"/>
          <w:lang w:val="en-US"/>
        </w:rPr>
        <w:br/>
        <w:t xml:space="preserve">Parque </w:t>
      </w:r>
      <w:proofErr w:type="spellStart"/>
      <w:r w:rsidRPr="00141235">
        <w:rPr>
          <w:sz w:val="20"/>
          <w:szCs w:val="20"/>
          <w:lang w:val="en-US"/>
        </w:rPr>
        <w:t>Empresarial</w:t>
      </w:r>
      <w:proofErr w:type="spellEnd"/>
      <w:r w:rsidRPr="00141235">
        <w:rPr>
          <w:sz w:val="20"/>
          <w:szCs w:val="20"/>
          <w:lang w:val="en-US"/>
        </w:rPr>
        <w:t xml:space="preserve"> La </w:t>
      </w:r>
      <w:proofErr w:type="spellStart"/>
      <w:r w:rsidRPr="00141235">
        <w:rPr>
          <w:sz w:val="20"/>
          <w:szCs w:val="20"/>
          <w:lang w:val="en-US"/>
        </w:rPr>
        <w:t>Carpetania</w:t>
      </w:r>
      <w:proofErr w:type="spellEnd"/>
      <w:r w:rsidRPr="00141235">
        <w:rPr>
          <w:sz w:val="20"/>
          <w:szCs w:val="20"/>
          <w:lang w:val="en-US"/>
        </w:rPr>
        <w:t>, c/ Miguel Faraday 2, 28906, Getafe (Madrid)</w:t>
      </w:r>
      <w:r w:rsidRPr="00141235">
        <w:rPr>
          <w:sz w:val="20"/>
          <w:szCs w:val="20"/>
          <w:lang w:val="en-US"/>
        </w:rPr>
        <w:br/>
      </w:r>
      <w:proofErr w:type="gramStart"/>
      <w:r w:rsidRPr="00141235">
        <w:rPr>
          <w:sz w:val="20"/>
          <w:szCs w:val="20"/>
          <w:lang w:val="en-US"/>
        </w:rPr>
        <w:t>Tel.:+</w:t>
      </w:r>
      <w:proofErr w:type="gramEnd"/>
      <w:r w:rsidRPr="00141235">
        <w:rPr>
          <w:sz w:val="20"/>
          <w:szCs w:val="20"/>
          <w:lang w:val="en-US"/>
        </w:rPr>
        <w:t xml:space="preserve">34 91 649 60 40; </w:t>
      </w:r>
      <w:r w:rsidRPr="00141235">
        <w:rPr>
          <w:sz w:val="20"/>
          <w:szCs w:val="20"/>
          <w:lang w:val="en-US"/>
        </w:rPr>
        <w:br/>
        <w:t>Fax:+34 91 649 60 44</w:t>
      </w:r>
      <w:r w:rsidRPr="00141235">
        <w:rPr>
          <w:sz w:val="20"/>
          <w:szCs w:val="20"/>
          <w:lang w:val="en-US"/>
        </w:rPr>
        <w:br/>
      </w:r>
      <w:proofErr w:type="spellStart"/>
      <w:r w:rsidRPr="00141235">
        <w:rPr>
          <w:sz w:val="20"/>
          <w:szCs w:val="20"/>
          <w:lang w:val="en-US"/>
        </w:rPr>
        <w:t>Correo</w:t>
      </w:r>
      <w:proofErr w:type="spellEnd"/>
      <w:r w:rsidRPr="00141235">
        <w:rPr>
          <w:sz w:val="20"/>
          <w:szCs w:val="20"/>
          <w:lang w:val="en-US"/>
        </w:rPr>
        <w:t xml:space="preserve"> </w:t>
      </w:r>
      <w:proofErr w:type="spellStart"/>
      <w:r w:rsidRPr="00141235">
        <w:rPr>
          <w:sz w:val="20"/>
          <w:szCs w:val="20"/>
          <w:lang w:val="en-US"/>
        </w:rPr>
        <w:t>electrónico</w:t>
      </w:r>
      <w:proofErr w:type="spellEnd"/>
      <w:r w:rsidRPr="00141235">
        <w:rPr>
          <w:sz w:val="20"/>
          <w:szCs w:val="20"/>
          <w:lang w:val="en-US"/>
        </w:rPr>
        <w:t xml:space="preserve">: </w:t>
      </w:r>
      <w:hyperlink r:id="rId14" w:history="1">
        <w:r w:rsidRPr="00141235">
          <w:rPr>
            <w:rStyle w:val="Hyperlink"/>
            <w:sz w:val="20"/>
            <w:szCs w:val="20"/>
            <w:lang w:val="en-US"/>
          </w:rPr>
          <w:t>gonzalez.laura@fronius.com</w:t>
        </w:r>
      </w:hyperlink>
    </w:p>
    <w:p w14:paraId="3F28D85F" w14:textId="77777777" w:rsidR="00141235" w:rsidRPr="00141235" w:rsidRDefault="00141235" w:rsidP="00141235">
      <w:pPr>
        <w:rPr>
          <w:sz w:val="20"/>
          <w:szCs w:val="20"/>
          <w:lang w:val="en-US"/>
        </w:rPr>
      </w:pPr>
    </w:p>
    <w:p w14:paraId="1D018151" w14:textId="77777777" w:rsidR="00141235" w:rsidRPr="00141235" w:rsidRDefault="00141235" w:rsidP="00141235">
      <w:pPr>
        <w:pStyle w:val="Textkrper2"/>
        <w:spacing w:after="0" w:line="240" w:lineRule="auto"/>
        <w:ind w:right="29"/>
        <w:rPr>
          <w:rFonts w:ascii="Noto Sans" w:eastAsiaTheme="majorEastAsia" w:hAnsi="Noto Sans" w:cs="Noto Sans"/>
          <w:iCs/>
          <w:color w:val="000000" w:themeColor="text1"/>
          <w:szCs w:val="20"/>
          <w:u w:val="single"/>
        </w:rPr>
      </w:pPr>
      <w:r w:rsidRPr="00141235">
        <w:rPr>
          <w:rFonts w:ascii="Noto Sans" w:eastAsiaTheme="majorEastAsia" w:hAnsi="Noto Sans" w:cs="Noto Sans"/>
          <w:iCs/>
          <w:color w:val="000000" w:themeColor="text1"/>
          <w:szCs w:val="20"/>
          <w:u w:val="single"/>
        </w:rPr>
        <w:t>Por favor, envíe un ejemplar de prueba a nuestra agencia:</w:t>
      </w:r>
    </w:p>
    <w:p w14:paraId="5DCABADE" w14:textId="77777777" w:rsidR="00141235" w:rsidRPr="00141235" w:rsidRDefault="00141235" w:rsidP="00141235">
      <w:pPr>
        <w:pStyle w:val="Textkrper2"/>
        <w:spacing w:after="0" w:line="240" w:lineRule="auto"/>
        <w:ind w:right="29"/>
        <w:rPr>
          <w:rFonts w:ascii="Noto Sans" w:hAnsi="Noto Sans" w:cs="Noto Sans"/>
          <w:szCs w:val="20"/>
        </w:rPr>
      </w:pPr>
      <w:r w:rsidRPr="00141235">
        <w:rPr>
          <w:rFonts w:ascii="Noto Sans" w:hAnsi="Noto Sans" w:cs="Noto Sans"/>
          <w:szCs w:val="20"/>
        </w:rPr>
        <w:t>a1kommunikation Schweizer GmbH, Señora Kirsten Ludwig,</w:t>
      </w:r>
    </w:p>
    <w:p w14:paraId="456FCA90" w14:textId="77777777" w:rsidR="00141235" w:rsidRPr="00141235" w:rsidRDefault="00141235" w:rsidP="00141235">
      <w:pPr>
        <w:pStyle w:val="Textkrper2"/>
        <w:spacing w:after="0" w:line="240" w:lineRule="auto"/>
        <w:ind w:right="29"/>
        <w:rPr>
          <w:rFonts w:ascii="Noto Sans" w:hAnsi="Noto Sans" w:cs="Noto Sans"/>
          <w:szCs w:val="20"/>
        </w:rPr>
      </w:pPr>
      <w:r w:rsidRPr="00141235">
        <w:rPr>
          <w:rFonts w:ascii="Noto Sans" w:hAnsi="Noto Sans" w:cs="Noto Sans"/>
          <w:szCs w:val="20"/>
        </w:rPr>
        <w:t>Oberdorfstraße 31 A, 70794 Filderstadt, Deutschland</w:t>
      </w:r>
    </w:p>
    <w:p w14:paraId="6CBAD013" w14:textId="77777777" w:rsidR="00141235" w:rsidRPr="00141235" w:rsidRDefault="00141235" w:rsidP="00141235">
      <w:pPr>
        <w:spacing w:after="0"/>
        <w:rPr>
          <w:rFonts w:eastAsia="PMingLiU"/>
          <w:sz w:val="20"/>
          <w:szCs w:val="20"/>
          <w:lang w:val="x-none" w:eastAsia="zh-TW"/>
        </w:rPr>
      </w:pPr>
      <w:r w:rsidRPr="00141235">
        <w:rPr>
          <w:rFonts w:eastAsia="PMingLiU"/>
          <w:sz w:val="20"/>
          <w:szCs w:val="20"/>
          <w:lang w:val="x-none" w:eastAsia="zh-TW"/>
        </w:rPr>
        <w:t>tel.: +49 711 9454161-20,</w:t>
      </w:r>
    </w:p>
    <w:p w14:paraId="55CD59F8" w14:textId="77777777" w:rsidR="00141235" w:rsidRPr="00141235" w:rsidRDefault="00141235" w:rsidP="00141235">
      <w:pPr>
        <w:spacing w:after="0"/>
        <w:rPr>
          <w:rStyle w:val="Hyperlink"/>
          <w:sz w:val="20"/>
          <w:szCs w:val="20"/>
          <w:lang w:val="x-none" w:eastAsia="zh-TW"/>
        </w:rPr>
      </w:pPr>
      <w:proofErr w:type="spellStart"/>
      <w:r w:rsidRPr="00141235">
        <w:rPr>
          <w:rFonts w:eastAsia="PMingLiU"/>
          <w:sz w:val="20"/>
          <w:szCs w:val="20"/>
          <w:lang w:val="x-none" w:eastAsia="zh-TW"/>
        </w:rPr>
        <w:t>correo</w:t>
      </w:r>
      <w:proofErr w:type="spellEnd"/>
      <w:r w:rsidRPr="00141235">
        <w:rPr>
          <w:rFonts w:eastAsia="PMingLiU"/>
          <w:sz w:val="20"/>
          <w:szCs w:val="20"/>
          <w:lang w:val="x-none" w:eastAsia="zh-TW"/>
        </w:rPr>
        <w:t xml:space="preserve"> </w:t>
      </w:r>
      <w:proofErr w:type="spellStart"/>
      <w:r w:rsidRPr="00141235">
        <w:rPr>
          <w:rFonts w:eastAsia="PMingLiU"/>
          <w:sz w:val="20"/>
          <w:szCs w:val="20"/>
          <w:lang w:val="x-none" w:eastAsia="zh-TW"/>
        </w:rPr>
        <w:t>electrónico</w:t>
      </w:r>
      <w:proofErr w:type="spellEnd"/>
      <w:r w:rsidRPr="00141235">
        <w:rPr>
          <w:rFonts w:eastAsia="PMingLiU"/>
          <w:sz w:val="20"/>
          <w:szCs w:val="20"/>
          <w:lang w:val="x-none" w:eastAsia="zh-TW"/>
        </w:rPr>
        <w:t xml:space="preserve">: </w:t>
      </w:r>
      <w:hyperlink r:id="rId15" w:history="1">
        <w:r w:rsidRPr="00141235">
          <w:rPr>
            <w:rStyle w:val="Hyperlink"/>
            <w:sz w:val="20"/>
            <w:szCs w:val="20"/>
            <w:lang w:val="x-none" w:eastAsia="zh-TW"/>
          </w:rPr>
          <w:t>k</w:t>
        </w:r>
        <w:r w:rsidRPr="00141235">
          <w:rPr>
            <w:rStyle w:val="Hyperlink"/>
            <w:rFonts w:eastAsia="PMingLiU"/>
            <w:sz w:val="20"/>
            <w:szCs w:val="20"/>
            <w:lang w:val="x-none" w:eastAsia="zh-TW"/>
          </w:rPr>
          <w:t>irsten.ludwig@a1kommunikation.de</w:t>
        </w:r>
      </w:hyperlink>
    </w:p>
    <w:p w14:paraId="42015CAE" w14:textId="77777777" w:rsidR="00141235" w:rsidRPr="00141235" w:rsidRDefault="00141235" w:rsidP="00141235">
      <w:pPr>
        <w:pStyle w:val="Textkrper2"/>
        <w:spacing w:after="0" w:line="240" w:lineRule="auto"/>
        <w:ind w:right="29"/>
        <w:rPr>
          <w:rFonts w:ascii="Noto Sans" w:hAnsi="Noto Sans" w:cs="Noto Sans"/>
          <w:szCs w:val="20"/>
          <w:lang w:val="en-US"/>
        </w:rPr>
      </w:pPr>
    </w:p>
    <w:p w14:paraId="494D5408" w14:textId="77777777" w:rsidR="00141235" w:rsidRPr="00141235" w:rsidRDefault="00141235" w:rsidP="00141235">
      <w:pPr>
        <w:rPr>
          <w:sz w:val="20"/>
          <w:szCs w:val="20"/>
          <w:lang w:val="pt-BR"/>
        </w:rPr>
      </w:pPr>
      <w:r w:rsidRPr="00141235">
        <w:rPr>
          <w:sz w:val="20"/>
          <w:szCs w:val="20"/>
          <w:lang w:val="pt-BR"/>
        </w:rPr>
        <w:t>¡Para leer otros artículos interesantes, visite nuestro blog en blog.perfectwelding.fronius.com y síganos en Facebook (froniuswelding), Twitter (froniusintweld), LinkedIn (perfect-welding), Instagram (froniuswelding) y YouTube (froniuswelding)!</w:t>
      </w:r>
    </w:p>
    <w:p w14:paraId="25FCA2DA" w14:textId="77777777" w:rsidR="00141235" w:rsidRDefault="00141235">
      <w:pPr>
        <w:jc w:val="both"/>
      </w:pPr>
    </w:p>
    <w:sectPr w:rsidR="00141235">
      <w:headerReference w:type="default" r:id="rId16"/>
      <w:footerReference w:type="default" r:id="rId17"/>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Gráfico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Campo de texto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Clase de información: pública</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Campo de texto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Clase de información: pública</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5"/>
    <w:rsid w:val="00141239"/>
    <w:rsid w:val="00153E62"/>
    <w:rsid w:val="0018477B"/>
    <w:rsid w:val="001E246D"/>
    <w:rsid w:val="00200AA8"/>
    <w:rsid w:val="00202493"/>
    <w:rsid w:val="00237169"/>
    <w:rsid w:val="002968C9"/>
    <w:rsid w:val="002B5D18"/>
    <w:rsid w:val="00331F38"/>
    <w:rsid w:val="00370A52"/>
    <w:rsid w:val="00375162"/>
    <w:rsid w:val="004B7F42"/>
    <w:rsid w:val="004C3056"/>
    <w:rsid w:val="004D0D77"/>
    <w:rsid w:val="004E21B3"/>
    <w:rsid w:val="004E230C"/>
    <w:rsid w:val="005010EB"/>
    <w:rsid w:val="00555EE0"/>
    <w:rsid w:val="005634D3"/>
    <w:rsid w:val="00570F69"/>
    <w:rsid w:val="00585EEA"/>
    <w:rsid w:val="005D343B"/>
    <w:rsid w:val="00654255"/>
    <w:rsid w:val="006626BC"/>
    <w:rsid w:val="006A6157"/>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s-ES"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es-ES"/>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es-ES"/>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es-ES"/>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141235"/>
    <w:rPr>
      <w:color w:val="605E5C"/>
      <w:shd w:val="clear" w:color="auto" w:fill="E1DFDD"/>
    </w:rPr>
  </w:style>
  <w:style w:type="paragraph" w:styleId="StandardWeb">
    <w:name w:val="Normal (Web)"/>
    <w:basedOn w:val="Standard"/>
    <w:uiPriority w:val="99"/>
    <w:unhideWhenUsed/>
    <w:rsid w:val="0014123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lang w:val="de-AT"/>
      <w14:textOutline w14:w="0" w14:cap="rnd" w14:cmpd="sng" w14:algn="ctr">
        <w14:noFill/>
        <w14:prstDash w14:val="solid"/>
        <w14:bevel/>
      </w14:textOutline>
    </w:rPr>
  </w:style>
  <w:style w:type="paragraph" w:styleId="Textkrper2">
    <w:name w:val="Body Text 2"/>
    <w:basedOn w:val="Standard"/>
    <w:link w:val="Textkrper2Zchn"/>
    <w:rsid w:val="00141235"/>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141235"/>
    <w:rPr>
      <w:rFonts w:ascii="Arial" w:eastAsia="PMingLiU" w:hAnsi="Arial"/>
      <w:szCs w:val="24"/>
      <w:bdr w:val="none" w:sz="0" w:space="0" w:color="auto"/>
      <w:lang w:eastAsia="zh-TW"/>
    </w:rPr>
  </w:style>
  <w:style w:type="character" w:styleId="BesuchterLink">
    <w:name w:val="FollowedHyperlink"/>
    <w:basedOn w:val="Absatz-Standardschriftart"/>
    <w:uiPriority w:val="99"/>
    <w:semiHidden/>
    <w:unhideWhenUsed/>
    <w:rsid w:val="00141235"/>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hyperlink" Target="https://www.fronius.com/es-es/spain/tecnologia-de-soldadura/centro-de-informacion/prensa" TargetMode="External"/><Relationship Id="rId11" Type="http://schemas.openxmlformats.org/officeDocument/2006/relationships/image" Target="media/image5.jpeg"/><Relationship Id="rId24" Type="http://schemas.openxmlformats.org/officeDocument/2006/relationships/customXml" Target="../customXml/item5.xml"/><Relationship Id="rId5" Type="http://schemas.openxmlformats.org/officeDocument/2006/relationships/endnotes" Target="endnotes.xml"/><Relationship Id="rId15" Type="http://schemas.openxmlformats.org/officeDocument/2006/relationships/hyperlink" Target="mailto:kirsten.ludwig@a1kommunikation.de" TargetMode="External"/><Relationship Id="rId23" Type="http://schemas.openxmlformats.org/officeDocument/2006/relationships/customXml" Target="../customXml/item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yperlink" Target="mailto:gonzalez.laura@fronius.com"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38</Value>
      <Value>28</Value>
    </Country>
    <fro_spid xmlns="dc0c2c3d-e9fc-4a0d-820b-87ab82e65f20">17949;SE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C-138909</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M-194381</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5DB2DF15-4D82-46D3-89F8-A1A358BB7C0D}"/>
</file>

<file path=customXml/itemProps2.xml><?xml version="1.0" encoding="utf-8"?>
<ds:datastoreItem xmlns:ds="http://schemas.openxmlformats.org/officeDocument/2006/customXml" ds:itemID="{1DE39F2F-C4B2-4F0C-8C67-A75AEAE2258A}"/>
</file>

<file path=customXml/itemProps3.xml><?xml version="1.0" encoding="utf-8"?>
<ds:datastoreItem xmlns:ds="http://schemas.openxmlformats.org/officeDocument/2006/customXml" ds:itemID="{6A91FE3B-6033-4226-B2E4-4E2893EDA7D4}"/>
</file>

<file path=customXml/itemProps4.xml><?xml version="1.0" encoding="utf-8"?>
<ds:datastoreItem xmlns:ds="http://schemas.openxmlformats.org/officeDocument/2006/customXml" ds:itemID="{67AEC4BE-AAC5-4FAE-B582-2ECE0F6109AE}"/>
</file>

<file path=customXml/itemProps5.xml><?xml version="1.0" encoding="utf-8"?>
<ds:datastoreItem xmlns:ds="http://schemas.openxmlformats.org/officeDocument/2006/customXml" ds:itemID="{51BD0385-899D-4BEA-A7BE-5605E6CA338D}"/>
</file>

<file path=docProps/app.xml><?xml version="1.0" encoding="utf-8"?>
<Properties xmlns="http://schemas.openxmlformats.org/officeDocument/2006/extended-properties" xmlns:vt="http://schemas.openxmlformats.org/officeDocument/2006/docPropsVTypes">
  <Template>Normal.dotm</Template>
  <TotalTime>0</TotalTime>
  <Pages>5</Pages>
  <Words>1484</Words>
  <Characters>9353</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10816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PW_PR_Fakop_ES</dc:title>
  <dc:creator>Aitzetmueller Christian</dc:creator>
  <cp:lastModifiedBy>Pointner Karin</cp:lastModifiedBy>
  <cp:revision>2</cp:revision>
  <cp:lastPrinted>2022-10-24T08:11:00Z</cp:lastPrinted>
  <dcterms:created xsi:type="dcterms:W3CDTF">2022-12-12T07:42:00Z</dcterms:created>
  <dcterms:modified xsi:type="dcterms:W3CDTF">2022-12-12T07:42:00Z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259;##ES|dd4c9c45-94c3-4cf4-ab9c-523f2b58f76e</vt:lpwstr>
  </property>
  <property fmtid="{D5CDD505-2E9C-101B-9397-08002B2CF9AE}" pid="10" name="FroConDoc_language">
    <vt:lpwstr>1;#DE|676160ea-61f7-4cef-8b4c-1724dec2206e</vt:lpwstr>
  </property>
</Properties>
</file>