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B70C8" w14:textId="77777777" w:rsidR="00ED5042" w:rsidRDefault="00B801F9">
      <w:pPr>
        <w:pStyle w:val="berschrift1"/>
        <w:jc w:val="both"/>
      </w:pPr>
      <w:r>
        <w:t>Tlačová informácia</w:t>
      </w:r>
    </w:p>
    <w:p w14:paraId="3C526E7D" w14:textId="77777777" w:rsidR="00ED5042" w:rsidRDefault="00B801F9">
      <w:pPr>
        <w:jc w:val="both"/>
      </w:pPr>
      <w:r>
        <w:rPr>
          <w:sz w:val="20"/>
        </w:rPr>
        <w:t>Perfect Welding</w:t>
      </w:r>
    </w:p>
    <w:p w14:paraId="41659657" w14:textId="77777777" w:rsidR="00ED5042" w:rsidRDefault="00ED5042">
      <w:pPr>
        <w:jc w:val="both"/>
        <w:rPr>
          <w:sz w:val="20"/>
          <w:szCs w:val="20"/>
        </w:rPr>
      </w:pPr>
    </w:p>
    <w:p w14:paraId="714554C7" w14:textId="77777777" w:rsidR="00ED5042" w:rsidRDefault="00B801F9">
      <w:pPr>
        <w:pStyle w:val="HeadlineGreen"/>
        <w:jc w:val="both"/>
        <w:rPr>
          <w:color w:val="000000"/>
          <w:sz w:val="22"/>
          <w:szCs w:val="22"/>
          <w:u w:color="000000"/>
        </w:rPr>
      </w:pPr>
      <w:r>
        <w:rPr>
          <w:color w:val="000000"/>
          <w:sz w:val="22"/>
          <w:u w:color="000000"/>
        </w:rPr>
        <w:t>Efektívne odsávanie dymu zo zvárania</w:t>
      </w:r>
    </w:p>
    <w:p w14:paraId="1FD151F0" w14:textId="67DA0D8E" w:rsidR="00ED5042" w:rsidRPr="00D05513" w:rsidRDefault="00B801F9" w:rsidP="00D05513">
      <w:pPr>
        <w:pStyle w:val="berschrift1"/>
      </w:pPr>
      <w:r w:rsidRPr="00D05513">
        <w:t xml:space="preserve">Spoločnosť Fronius predstavuje dve nové výkonné odsávacie zariadenia a ergonomický odsávací zvárací horák </w:t>
      </w:r>
    </w:p>
    <w:p w14:paraId="70B4B3DF" w14:textId="27A2E4A5" w:rsidR="000C6FB2" w:rsidRDefault="00B801F9">
      <w:pPr>
        <w:rPr>
          <w:sz w:val="20"/>
          <w:szCs w:val="20"/>
        </w:rPr>
      </w:pPr>
      <w:r>
        <w:rPr>
          <w:sz w:val="24"/>
        </w:rPr>
        <w:t xml:space="preserve">Maximálna ochrana pred dymom zo zvárania je viac ako len vecou plnenia noriem. Spoločnosti ňou ukazujú zodpovednosť za svojich zváračov a všetky ostatné osoby, ktoré pracujú v ich bezprostrednom okolí. Preto prichádza spoločnosť Fronius na trh s účinnou ochranou pred dymom zo zvárania v podobe nového, jednoducho ovládateľného odsávacieho zváracieho horáka Exento a dvoch výkonných mobilných odsávacích zariadení Exento. </w:t>
      </w:r>
      <w:r>
        <w:t xml:space="preserve"> </w:t>
      </w:r>
    </w:p>
    <w:p w14:paraId="11751D84" w14:textId="474ECC88" w:rsidR="001E246D" w:rsidRDefault="001E246D" w:rsidP="001E246D">
      <w:pPr>
        <w:rPr>
          <w:sz w:val="20"/>
          <w:szCs w:val="20"/>
        </w:rPr>
      </w:pPr>
      <w:r>
        <w:rPr>
          <w:sz w:val="20"/>
        </w:rPr>
        <w:t xml:space="preserve">Nové odsávacie riešenia sú na jednej strane perfektnou dvojicou pozostávajúcou zo zváracieho horáka Exento ergonomického tvaru a kompaktného mobilného vysokovákuového odsávacieho zariadenia Exento HighVac. Táto kombinácia ukazuje svoje silné stránky pri zváraní MIG/MAG a odsáva dym presne tam, kde vzniká. Vďaka neobyčajne vysokej kvalite filtra eliminuje mobilné vysokovákuové odsávacie zariadenie Exento HighVac viac ako 99,9 percenta čiastočiek dymu zo zvárania. </w:t>
      </w:r>
    </w:p>
    <w:p w14:paraId="53A2CC9E" w14:textId="74D8A844" w:rsidR="001E246D" w:rsidRDefault="001E246D">
      <w:pPr>
        <w:rPr>
          <w:sz w:val="20"/>
          <w:szCs w:val="20"/>
        </w:rPr>
      </w:pPr>
      <w:r>
        <w:rPr>
          <w:sz w:val="20"/>
        </w:rPr>
        <w:t xml:space="preserve">Na druhej strane je nízkovákuové odsávacie zariadenie Exento LowVac vhodné pre všetky zváracie postupy ako MIG/MAG, TIG či E-Hand a robí skvelý dojem vďaka dizajnu s optimalizovaným prietokom odsávacej hlavice. Vďaka nemu sa odsávacie rameno musí nastavovať oveľa menej ako pri starších zariadeniach. </w:t>
      </w:r>
    </w:p>
    <w:p w14:paraId="31811CC3" w14:textId="1584F8B4" w:rsidR="00ED5042" w:rsidRDefault="00B801F9">
      <w:pPr>
        <w:rPr>
          <w:u w:val="single"/>
        </w:rPr>
      </w:pPr>
      <w:r>
        <w:rPr>
          <w:u w:val="single"/>
        </w:rPr>
        <w:t>Nový odsávací zvárací horák – výkonný, praktický a individuálny</w:t>
      </w:r>
    </w:p>
    <w:p w14:paraId="487A752C" w14:textId="5B3BC8F9" w:rsidR="00ED5042" w:rsidRDefault="00B801F9">
      <w:pPr>
        <w:rPr>
          <w:sz w:val="20"/>
          <w:szCs w:val="20"/>
        </w:rPr>
      </w:pPr>
      <w:r>
        <w:rPr>
          <w:sz w:val="20"/>
        </w:rPr>
        <w:t xml:space="preserve">S novo koncipovaným odsávacím zváracím horákom Exento, ktorý je v súlade s normou EN ISO 21904-1, sa dym zo zvárania odsáva presne tam, kde vzniká, a ešte predtým, ako sa rozšíri. Pri jeho navrhovaní kládol tím tvorcov špeciálny dôraz na optimálny ergonomický tvar a jednoduchú obsluhu. Teraz sa dá napríklad odsávací výkon nastavovať priamo na rukoväti pomocou poistného ventilu. Gumové vložky zabezpečujú pevné držanie a integrované LED osvetlenie sa veľmi osvedčilo pri zváraní v tmavých prostrediach alebo pri kontrole kvality. K dispozícii sú tri rôzne používateľské rozhrania – od verzie s tlačidlom horáka navrchu cez ovládanie kolískovým prepínačom UpDown až po verziu Jobmaster. Pre každý typ zvárania sa teda nájde to pravé. Oveľa viac priestoru pri zváraní zabezpečuje aj guľový kĺb, pomocou ktorého je 1,3-metrová hadica obalená kožou pripojená k rukoväti. </w:t>
      </w:r>
    </w:p>
    <w:p w14:paraId="441BCC65" w14:textId="77777777" w:rsidR="00D05513" w:rsidRDefault="00D05513">
      <w:pPr>
        <w:rPr>
          <w:u w:val="single"/>
        </w:rPr>
      </w:pPr>
    </w:p>
    <w:p w14:paraId="4D7C5E17" w14:textId="77777777" w:rsidR="00D05513" w:rsidRDefault="00D05513">
      <w:pPr>
        <w:rPr>
          <w:u w:val="single"/>
        </w:rPr>
      </w:pPr>
    </w:p>
    <w:p w14:paraId="2411C853" w14:textId="77777777" w:rsidR="00D05513" w:rsidRDefault="00D05513">
      <w:pPr>
        <w:rPr>
          <w:u w:val="single"/>
        </w:rPr>
      </w:pPr>
    </w:p>
    <w:p w14:paraId="17074DB0" w14:textId="373269CE" w:rsidR="00ED5042" w:rsidRDefault="000E6245">
      <w:pPr>
        <w:rPr>
          <w:u w:val="single"/>
        </w:rPr>
      </w:pPr>
      <w:r>
        <w:rPr>
          <w:u w:val="single"/>
        </w:rPr>
        <w:lastRenderedPageBreak/>
        <w:t>Exento HighVac – jednoduché a kompaktné odsávanie</w:t>
      </w:r>
    </w:p>
    <w:p w14:paraId="0E3C14CF" w14:textId="7081F4A0" w:rsidR="00ED5042" w:rsidRDefault="00B801F9">
      <w:pPr>
        <w:rPr>
          <w:sz w:val="20"/>
          <w:szCs w:val="20"/>
        </w:rPr>
      </w:pPr>
      <w:r>
        <w:rPr>
          <w:sz w:val="20"/>
        </w:rPr>
        <w:t xml:space="preserve">V kombinácii s odsávacím zváracím horákom Exento dokazuje nové vysokovákuové odsávacie zariadenie svoju silu predovšetkým vtedy, keď je k odstráneniu dymu a prachu potrebný nepretržitý výkon. Vďaka základni s veľkosťou iba 60 × 60 centimetrov a prevádzkovému polomeru 360 stupňov je Exento HighVac účinným mobilným balíkom, ktorý je možné nasadiť, kdekoľvek je to potrebné. Integrovaný kompresor s bočným kanálom umožňuje dosiahnuť odsávací výkon až 170 m³ za hodinu a vertikálna filtračná vložka sa stará o neobyčajne efektívne čistenie. Samozrejme sme mysleli aj na maximálny komfort pri jeho obsluhe – napríklad pri plynulom zadávaní prednastavenej hodnoty odsávacieho výkonu alebo intuitívnej obsluhe jedným tlačidlom. Tak môžete nastaviť vhodný program okamžite dokonca aj v rukaviciach.  </w:t>
      </w:r>
    </w:p>
    <w:p w14:paraId="1DEC6FE6" w14:textId="593ECC60" w:rsidR="00ED5042" w:rsidRDefault="00B801F9">
      <w:pPr>
        <w:rPr>
          <w:sz w:val="20"/>
          <w:szCs w:val="20"/>
        </w:rPr>
      </w:pPr>
      <w:r>
        <w:rPr>
          <w:sz w:val="20"/>
        </w:rPr>
        <w:t xml:space="preserve">Nový odsávací zvárací horák Exento a odsávacie zariadenie Exento HighVac spolu tvoria skvelú dvojicu a dosahujú výborné výsledky. Odsávacie zariadenie s vysokým podtlakom však možno kombinovať aj s inými odsávacími zváracími zariadeniami. </w:t>
      </w:r>
      <w:r w:rsidR="00D05513">
        <w:rPr>
          <w:sz w:val="20"/>
        </w:rPr>
        <w:br/>
      </w:r>
    </w:p>
    <w:p w14:paraId="128D9AFE" w14:textId="43FA7075" w:rsidR="00ED5042" w:rsidRDefault="00B801F9">
      <w:pPr>
        <w:rPr>
          <w:u w:val="single"/>
        </w:rPr>
      </w:pPr>
      <w:r>
        <w:rPr>
          <w:u w:val="single"/>
        </w:rPr>
        <w:t>Exento LowVac – možnosť flexibilného nasadzovania</w:t>
      </w:r>
    </w:p>
    <w:p w14:paraId="5D7FC898" w14:textId="212EA53A" w:rsidR="00ED5042" w:rsidRDefault="00B801F9">
      <w:pPr>
        <w:rPr>
          <w:sz w:val="20"/>
          <w:szCs w:val="20"/>
        </w:rPr>
      </w:pPr>
      <w:r>
        <w:rPr>
          <w:sz w:val="20"/>
        </w:rPr>
        <w:t>Či už zvárate systémom MIG/MAG, TIG, alebo E-Hand, toto mobilné nízkovákuové odsávacie zariadenie je vhodné pre všetky bežné zváracie postupy. Všade tam, kde sa nedá použiť odsávací zvárací horák, je Exento LowVac tou správnou voľbou. Jeho prednosťou je odsávacia hlavica s redukčným ventilom, ktorú možno otáčať v uhle 360 stupňov, ktorá je na požiadanie dostupná aj s LED osvetlením. Pozoruhodná je aj veľkosť štandardnej filtračnej plochy jednorazového filtra, ktorá má 25 m² a v prípade potreby sa dá zväčšiť až na 42 m². Robustná a stabilná konštrukcia zariadenia Exento LowVac z neho robí dokonalého spoločníka pri častých zmenách pracoviska. Vďaka veľkej kapacite a dlhej výdrži filtra je veľmi výhodný aj z hľadiska hospodárnosti.</w:t>
      </w:r>
    </w:p>
    <w:p w14:paraId="2E140330" w14:textId="01A96FE0" w:rsidR="00D05513" w:rsidRPr="00D05513" w:rsidRDefault="00B801F9" w:rsidP="00D05513">
      <w:pPr>
        <w:rPr>
          <w:sz w:val="20"/>
          <w:szCs w:val="20"/>
        </w:rPr>
      </w:pPr>
      <w:r>
        <w:rPr>
          <w:sz w:val="20"/>
        </w:rPr>
        <w:t xml:space="preserve">Špecialista na zváranie Fronius dopĺňa novinkami značky Exento svoju rozsiahlu ponuku v oblasti ochrany zdravia a bezpečnosti. </w:t>
      </w:r>
      <w:r w:rsidR="00D05513">
        <w:rPr>
          <w:sz w:val="20"/>
          <w:szCs w:val="20"/>
        </w:rPr>
        <w:br/>
      </w:r>
    </w:p>
    <w:p w14:paraId="30EE55E3" w14:textId="6B33676F" w:rsidR="004C3056" w:rsidRPr="00D05513" w:rsidRDefault="00D05513" w:rsidP="00D05513">
      <w:pPr>
        <w:rPr>
          <w:b/>
          <w:sz w:val="20"/>
          <w:szCs w:val="20"/>
        </w:rPr>
      </w:pPr>
      <w:r>
        <w:rPr>
          <w:i/>
          <w:sz w:val="20"/>
          <w:szCs w:val="20"/>
        </w:rPr>
        <w:t>4 262</w:t>
      </w:r>
      <w:r w:rsidRPr="00D05513">
        <w:rPr>
          <w:i/>
          <w:sz w:val="20"/>
          <w:szCs w:val="20"/>
        </w:rPr>
        <w:t xml:space="preserve"> znakov vrátane medzier</w:t>
      </w:r>
      <w:r w:rsidRPr="00D05513">
        <w:rPr>
          <w:b/>
          <w:sz w:val="20"/>
          <w:szCs w:val="20"/>
        </w:rPr>
        <w:br/>
      </w:r>
      <w:r w:rsidRPr="00D05513">
        <w:rPr>
          <w:b/>
          <w:sz w:val="20"/>
          <w:szCs w:val="20"/>
        </w:rPr>
        <w:br/>
      </w:r>
      <w:proofErr w:type="spellStart"/>
      <w:r w:rsidRPr="00D05513">
        <w:rPr>
          <w:sz w:val="20"/>
          <w:szCs w:val="20"/>
          <w:lang w:val="de-DE"/>
        </w:rPr>
        <w:t>Obrázky</w:t>
      </w:r>
      <w:proofErr w:type="spellEnd"/>
      <w:r w:rsidRPr="00D05513">
        <w:rPr>
          <w:sz w:val="20"/>
          <w:szCs w:val="20"/>
          <w:lang w:val="de-DE"/>
        </w:rPr>
        <w:t xml:space="preserve"> </w:t>
      </w:r>
      <w:proofErr w:type="spellStart"/>
      <w:r w:rsidRPr="00D05513">
        <w:rPr>
          <w:sz w:val="20"/>
          <w:szCs w:val="20"/>
          <w:lang w:val="de-DE"/>
        </w:rPr>
        <w:t>vo</w:t>
      </w:r>
      <w:proofErr w:type="spellEnd"/>
      <w:r w:rsidRPr="00D05513">
        <w:rPr>
          <w:sz w:val="20"/>
          <w:szCs w:val="20"/>
          <w:lang w:val="de-DE"/>
        </w:rPr>
        <w:t xml:space="preserve"> </w:t>
      </w:r>
      <w:proofErr w:type="spellStart"/>
      <w:r w:rsidRPr="00D05513">
        <w:rPr>
          <w:sz w:val="20"/>
          <w:szCs w:val="20"/>
          <w:lang w:val="de-DE"/>
        </w:rPr>
        <w:t>vysokom</w:t>
      </w:r>
      <w:proofErr w:type="spellEnd"/>
      <w:r w:rsidRPr="00D05513">
        <w:rPr>
          <w:sz w:val="20"/>
          <w:szCs w:val="20"/>
          <w:lang w:val="de-DE"/>
        </w:rPr>
        <w:t xml:space="preserve"> </w:t>
      </w:r>
      <w:proofErr w:type="spellStart"/>
      <w:r w:rsidRPr="00D05513">
        <w:rPr>
          <w:sz w:val="20"/>
          <w:szCs w:val="20"/>
          <w:lang w:val="de-DE"/>
        </w:rPr>
        <w:t>rozlíšení</w:t>
      </w:r>
      <w:proofErr w:type="spellEnd"/>
      <w:r w:rsidRPr="00D05513">
        <w:rPr>
          <w:sz w:val="20"/>
          <w:szCs w:val="20"/>
          <w:lang w:val="de-DE"/>
        </w:rPr>
        <w:t xml:space="preserve"> </w:t>
      </w:r>
      <w:proofErr w:type="spellStart"/>
      <w:r w:rsidRPr="00D05513">
        <w:rPr>
          <w:sz w:val="20"/>
          <w:szCs w:val="20"/>
          <w:lang w:val="de-DE"/>
        </w:rPr>
        <w:t>nájdete</w:t>
      </w:r>
      <w:proofErr w:type="spellEnd"/>
      <w:r w:rsidRPr="00D05513">
        <w:rPr>
          <w:sz w:val="20"/>
          <w:szCs w:val="20"/>
          <w:lang w:val="de-DE"/>
        </w:rPr>
        <w:t xml:space="preserve"> na </w:t>
      </w:r>
      <w:proofErr w:type="spellStart"/>
      <w:r w:rsidRPr="00D05513">
        <w:rPr>
          <w:sz w:val="20"/>
          <w:szCs w:val="20"/>
          <w:lang w:val="de-DE"/>
        </w:rPr>
        <w:t>stiahnutie</w:t>
      </w:r>
      <w:proofErr w:type="spellEnd"/>
      <w:r w:rsidRPr="00D05513">
        <w:rPr>
          <w:sz w:val="20"/>
          <w:szCs w:val="20"/>
          <w:lang w:val="de-DE"/>
        </w:rPr>
        <w:t xml:space="preserve"> </w:t>
      </w:r>
      <w:proofErr w:type="spellStart"/>
      <w:r w:rsidRPr="00D05513">
        <w:rPr>
          <w:sz w:val="20"/>
          <w:szCs w:val="20"/>
          <w:lang w:val="de-DE"/>
        </w:rPr>
        <w:t>po</w:t>
      </w:r>
      <w:proofErr w:type="spellEnd"/>
      <w:r w:rsidRPr="00D05513">
        <w:rPr>
          <w:sz w:val="20"/>
          <w:szCs w:val="20"/>
          <w:lang w:val="de-DE"/>
        </w:rPr>
        <w:t xml:space="preserve"> </w:t>
      </w:r>
      <w:proofErr w:type="spellStart"/>
      <w:r w:rsidRPr="00D05513">
        <w:rPr>
          <w:sz w:val="20"/>
          <w:szCs w:val="20"/>
          <w:lang w:val="de-DE"/>
        </w:rPr>
        <w:t>kliknutí</w:t>
      </w:r>
      <w:proofErr w:type="spellEnd"/>
      <w:r w:rsidRPr="00D05513">
        <w:rPr>
          <w:sz w:val="20"/>
          <w:szCs w:val="20"/>
          <w:lang w:val="de-DE"/>
        </w:rPr>
        <w:t xml:space="preserve"> na </w:t>
      </w:r>
      <w:proofErr w:type="spellStart"/>
      <w:r w:rsidRPr="00D05513">
        <w:rPr>
          <w:sz w:val="20"/>
          <w:szCs w:val="20"/>
          <w:lang w:val="de-DE"/>
        </w:rPr>
        <w:t>tento</w:t>
      </w:r>
      <w:proofErr w:type="spellEnd"/>
      <w:r w:rsidRPr="00D05513">
        <w:rPr>
          <w:sz w:val="20"/>
          <w:szCs w:val="20"/>
          <w:lang w:val="de-DE"/>
        </w:rPr>
        <w:t xml:space="preserve"> </w:t>
      </w:r>
      <w:proofErr w:type="spellStart"/>
      <w:r w:rsidRPr="00D05513">
        <w:rPr>
          <w:sz w:val="20"/>
          <w:szCs w:val="20"/>
          <w:lang w:val="de-DE"/>
        </w:rPr>
        <w:t>odkaz</w:t>
      </w:r>
      <w:proofErr w:type="spellEnd"/>
      <w:r w:rsidRPr="00D05513">
        <w:rPr>
          <w:sz w:val="20"/>
          <w:szCs w:val="20"/>
          <w:lang w:val="de-DE"/>
        </w:rPr>
        <w:t>:</w:t>
      </w:r>
      <w:r>
        <w:rPr>
          <w:sz w:val="20"/>
          <w:szCs w:val="20"/>
          <w:lang w:val="de-DE"/>
        </w:rPr>
        <w:br/>
      </w:r>
      <w:hyperlink r:id="rId6" w:history="1">
        <w:r w:rsidRPr="00106608">
          <w:rPr>
            <w:rStyle w:val="Hyperlink"/>
            <w:sz w:val="20"/>
            <w:szCs w:val="20"/>
            <w:lang w:val="de-DE"/>
          </w:rPr>
          <w:t>https://www.fronius.com/sk-sk/slov</w:t>
        </w:r>
        <w:r w:rsidRPr="00106608">
          <w:rPr>
            <w:rStyle w:val="Hyperlink"/>
            <w:sz w:val="20"/>
            <w:szCs w:val="20"/>
            <w:lang w:val="de-DE"/>
          </w:rPr>
          <w:t>a</w:t>
        </w:r>
        <w:r w:rsidRPr="00106608">
          <w:rPr>
            <w:rStyle w:val="Hyperlink"/>
            <w:sz w:val="20"/>
            <w:szCs w:val="20"/>
            <w:lang w:val="de-DE"/>
          </w:rPr>
          <w:t>kia/zvaracia-technika/aktuality/tlac</w:t>
        </w:r>
      </w:hyperlink>
    </w:p>
    <w:p w14:paraId="3B399221" w14:textId="77777777" w:rsidR="00D05513" w:rsidRDefault="00D05513">
      <w:pPr>
        <w:pStyle w:val="berschrift4"/>
        <w:jc w:val="both"/>
        <w:rPr>
          <w:sz w:val="20"/>
        </w:rPr>
      </w:pPr>
    </w:p>
    <w:p w14:paraId="0F7F72D4" w14:textId="77777777" w:rsidR="00D05513" w:rsidRDefault="00D05513">
      <w:pPr>
        <w:pStyle w:val="berschrift4"/>
        <w:jc w:val="both"/>
        <w:rPr>
          <w:sz w:val="20"/>
        </w:rPr>
      </w:pPr>
    </w:p>
    <w:p w14:paraId="54C0DAF4" w14:textId="5C359AC6" w:rsidR="00ED5042" w:rsidRDefault="00B801F9">
      <w:pPr>
        <w:pStyle w:val="berschrift4"/>
        <w:jc w:val="both"/>
        <w:rPr>
          <w:sz w:val="20"/>
          <w:szCs w:val="20"/>
        </w:rPr>
      </w:pPr>
      <w:r>
        <w:rPr>
          <w:sz w:val="20"/>
        </w:rPr>
        <w:t>Prehľad obrazového materiálu</w:t>
      </w:r>
    </w:p>
    <w:p w14:paraId="5A95C95D" w14:textId="77777777" w:rsidR="004C3056" w:rsidRPr="004C3056" w:rsidRDefault="004C3056" w:rsidP="0018477B"/>
    <w:p w14:paraId="059CB49A" w14:textId="0CC3DFF9" w:rsidR="00ED5042" w:rsidRDefault="00B801F9">
      <w:pPr>
        <w:rPr>
          <w:sz w:val="18"/>
          <w:szCs w:val="18"/>
        </w:rPr>
      </w:pPr>
      <w:r>
        <w:rPr>
          <w:sz w:val="18"/>
        </w:rPr>
        <w:t xml:space="preserve">Dym zo zvárania môže spôsobiť vážne doživotné zdravotné komplikácie. Výkonné odsávacie zariadenia ako Exento HighVac od spoločnosti Fronius chránia </w:t>
      </w:r>
      <w:r>
        <w:rPr>
          <w:noProof/>
        </w:rPr>
        <w:drawing>
          <wp:anchor distT="57150" distB="57150" distL="57150" distR="57150" simplePos="0" relativeHeight="251662336" behindDoc="0" locked="0" layoutInCell="1" allowOverlap="1" wp14:anchorId="5828A098" wp14:editId="0F8F47FB">
            <wp:simplePos x="0" y="0"/>
            <wp:positionH relativeFrom="column">
              <wp:posOffset>-51435</wp:posOffset>
            </wp:positionH>
            <wp:positionV relativeFrom="line">
              <wp:posOffset>-215900</wp:posOffset>
            </wp:positionV>
            <wp:extent cx="2602230" cy="1734820"/>
            <wp:effectExtent l="0" t="0" r="0" b="0"/>
            <wp:wrapThrough wrapText="bothSides" distL="57150" distR="57150">
              <wp:wrapPolygon edited="1">
                <wp:start x="0" y="0"/>
                <wp:lineTo x="21600" y="0"/>
                <wp:lineTo x="21600" y="21600"/>
                <wp:lineTo x="0" y="21600"/>
                <wp:lineTo x="0" y="0"/>
              </wp:wrapPolygon>
            </wp:wrapThrough>
            <wp:docPr id="1073741827" name="officeArt object" descr="Obrázok 3"/>
            <wp:cNvGraphicFramePr/>
            <a:graphic xmlns:a="http://schemas.openxmlformats.org/drawingml/2006/main">
              <a:graphicData uri="http://schemas.openxmlformats.org/drawingml/2006/picture">
                <pic:pic xmlns:pic="http://schemas.openxmlformats.org/drawingml/2006/picture">
                  <pic:nvPicPr>
                    <pic:cNvPr id="1073741827" name="Grafik 3" descr="Grafik 3"/>
                    <pic:cNvPicPr>
                      <a:picLocks noChangeAspect="1"/>
                    </pic:cNvPicPr>
                  </pic:nvPicPr>
                  <pic:blipFill>
                    <a:blip r:embed="rId7"/>
                    <a:stretch>
                      <a:fillRect/>
                    </a:stretch>
                  </pic:blipFill>
                  <pic:spPr>
                    <a:xfrm>
                      <a:off x="0" y="0"/>
                      <a:ext cx="2602230" cy="1734820"/>
                    </a:xfrm>
                    <a:prstGeom prst="rect">
                      <a:avLst/>
                    </a:prstGeom>
                    <a:ln w="12700" cap="flat">
                      <a:noFill/>
                      <a:miter lim="400000"/>
                    </a:ln>
                    <a:effectLst/>
                  </pic:spPr>
                </pic:pic>
              </a:graphicData>
            </a:graphic>
          </wp:anchor>
        </w:drawing>
      </w:r>
      <w:r>
        <w:rPr>
          <w:sz w:val="18"/>
        </w:rPr>
        <w:t xml:space="preserve">zváračov aj osoby v ich bezprostrednom okolí. </w:t>
      </w:r>
    </w:p>
    <w:p w14:paraId="67C926B3" w14:textId="77777777" w:rsidR="00ED5042" w:rsidRDefault="00ED5042">
      <w:pPr>
        <w:rPr>
          <w:sz w:val="18"/>
          <w:szCs w:val="18"/>
        </w:rPr>
      </w:pPr>
    </w:p>
    <w:p w14:paraId="2ADE880E" w14:textId="77777777" w:rsidR="00ED5042" w:rsidRDefault="00ED5042">
      <w:pPr>
        <w:rPr>
          <w:sz w:val="18"/>
          <w:szCs w:val="18"/>
        </w:rPr>
      </w:pPr>
    </w:p>
    <w:p w14:paraId="3616518F" w14:textId="77777777" w:rsidR="00ED5042" w:rsidRDefault="00ED5042">
      <w:pPr>
        <w:rPr>
          <w:sz w:val="18"/>
          <w:szCs w:val="18"/>
        </w:rPr>
      </w:pPr>
    </w:p>
    <w:p w14:paraId="1143B7F0" w14:textId="77777777" w:rsidR="00ED5042" w:rsidRDefault="00B801F9">
      <w:pPr>
        <w:rPr>
          <w:sz w:val="18"/>
          <w:szCs w:val="18"/>
        </w:rPr>
      </w:pPr>
      <w:r>
        <w:rPr>
          <w:noProof/>
          <w:sz w:val="18"/>
        </w:rPr>
        <w:lastRenderedPageBreak/>
        <w:drawing>
          <wp:anchor distT="57150" distB="57150" distL="57150" distR="57150" simplePos="0" relativeHeight="251659264" behindDoc="0" locked="0" layoutInCell="1" allowOverlap="1" wp14:anchorId="55F2195F" wp14:editId="43C4382A">
            <wp:simplePos x="0" y="0"/>
            <wp:positionH relativeFrom="column">
              <wp:posOffset>-99694</wp:posOffset>
            </wp:positionH>
            <wp:positionV relativeFrom="line">
              <wp:posOffset>186689</wp:posOffset>
            </wp:positionV>
            <wp:extent cx="2189480" cy="2266950"/>
            <wp:effectExtent l="0" t="0" r="0" b="0"/>
            <wp:wrapThrough wrapText="bothSides" distL="57150" distR="57150">
              <wp:wrapPolygon edited="1">
                <wp:start x="0" y="0"/>
                <wp:lineTo x="0" y="21600"/>
                <wp:lineTo x="21601" y="21600"/>
                <wp:lineTo x="21601" y="0"/>
                <wp:lineTo x="0" y="0"/>
              </wp:wrapPolygon>
            </wp:wrapThrough>
            <wp:docPr id="1073741828" name="officeArt object" descr="Obrázok 7"/>
            <wp:cNvGraphicFramePr/>
            <a:graphic xmlns:a="http://schemas.openxmlformats.org/drawingml/2006/main">
              <a:graphicData uri="http://schemas.openxmlformats.org/drawingml/2006/picture">
                <pic:pic xmlns:pic="http://schemas.openxmlformats.org/drawingml/2006/picture">
                  <pic:nvPicPr>
                    <pic:cNvPr id="1073741828" name="Grafik 7" descr="Grafik 7"/>
                    <pic:cNvPicPr>
                      <a:picLocks noChangeAspect="1"/>
                    </pic:cNvPicPr>
                  </pic:nvPicPr>
                  <pic:blipFill>
                    <a:blip r:embed="rId8"/>
                    <a:srcRect t="17268" b="5174"/>
                    <a:stretch>
                      <a:fillRect/>
                    </a:stretch>
                  </pic:blipFill>
                  <pic:spPr>
                    <a:xfrm>
                      <a:off x="0" y="0"/>
                      <a:ext cx="2189480" cy="2266950"/>
                    </a:xfrm>
                    <a:prstGeom prst="rect">
                      <a:avLst/>
                    </a:prstGeom>
                    <a:ln w="12700" cap="flat">
                      <a:noFill/>
                      <a:miter lim="400000"/>
                    </a:ln>
                    <a:effectLst/>
                  </pic:spPr>
                </pic:pic>
              </a:graphicData>
            </a:graphic>
          </wp:anchor>
        </w:drawing>
      </w:r>
    </w:p>
    <w:p w14:paraId="6DF4359F" w14:textId="77777777" w:rsidR="00ED5042" w:rsidRDefault="00B801F9">
      <w:pPr>
        <w:rPr>
          <w:sz w:val="18"/>
          <w:szCs w:val="18"/>
        </w:rPr>
      </w:pPr>
      <w:r>
        <w:rPr>
          <w:sz w:val="18"/>
        </w:rPr>
        <w:t xml:space="preserve">Dokonalá dvojica z jedného cesta: odsávacie vysokovákuové zariadenie Exento HighVac a ergonomický odsávací zvárací horák Exento. </w:t>
      </w:r>
    </w:p>
    <w:p w14:paraId="4CBA00E2" w14:textId="77777777" w:rsidR="00ED5042" w:rsidRDefault="00ED5042">
      <w:pPr>
        <w:rPr>
          <w:sz w:val="18"/>
          <w:szCs w:val="18"/>
        </w:rPr>
      </w:pPr>
    </w:p>
    <w:p w14:paraId="16C0BC24" w14:textId="77777777" w:rsidR="00ED5042" w:rsidRDefault="00ED5042">
      <w:pPr>
        <w:rPr>
          <w:sz w:val="18"/>
          <w:szCs w:val="18"/>
        </w:rPr>
      </w:pPr>
    </w:p>
    <w:p w14:paraId="7AFE62FA" w14:textId="77777777" w:rsidR="00ED5042" w:rsidRDefault="00ED5042">
      <w:pPr>
        <w:rPr>
          <w:sz w:val="18"/>
          <w:szCs w:val="18"/>
        </w:rPr>
      </w:pPr>
    </w:p>
    <w:p w14:paraId="0C280FFA" w14:textId="77777777" w:rsidR="00ED5042" w:rsidRDefault="00ED5042">
      <w:pPr>
        <w:rPr>
          <w:sz w:val="18"/>
          <w:szCs w:val="18"/>
        </w:rPr>
      </w:pPr>
    </w:p>
    <w:p w14:paraId="77F9A6BC" w14:textId="77777777" w:rsidR="00ED5042" w:rsidRDefault="00ED5042">
      <w:pPr>
        <w:rPr>
          <w:sz w:val="18"/>
          <w:szCs w:val="18"/>
        </w:rPr>
      </w:pPr>
    </w:p>
    <w:p w14:paraId="3F7E6DFD" w14:textId="77777777" w:rsidR="00ED5042" w:rsidRDefault="00ED5042">
      <w:pPr>
        <w:rPr>
          <w:sz w:val="18"/>
          <w:szCs w:val="18"/>
        </w:rPr>
      </w:pPr>
    </w:p>
    <w:p w14:paraId="704E47C4" w14:textId="77777777" w:rsidR="00ED5042" w:rsidRDefault="00B801F9">
      <w:pPr>
        <w:jc w:val="both"/>
        <w:rPr>
          <w:sz w:val="20"/>
          <w:szCs w:val="20"/>
        </w:rPr>
      </w:pPr>
      <w:r>
        <w:rPr>
          <w:noProof/>
        </w:rPr>
        <w:drawing>
          <wp:anchor distT="57150" distB="57150" distL="57150" distR="57150" simplePos="0" relativeHeight="251660288" behindDoc="0" locked="0" layoutInCell="1" allowOverlap="1" wp14:anchorId="59AB7740" wp14:editId="220AC3D8">
            <wp:simplePos x="0" y="0"/>
            <wp:positionH relativeFrom="column">
              <wp:posOffset>-99694</wp:posOffset>
            </wp:positionH>
            <wp:positionV relativeFrom="line">
              <wp:posOffset>123825</wp:posOffset>
            </wp:positionV>
            <wp:extent cx="2167200" cy="1782000"/>
            <wp:effectExtent l="0" t="0" r="0" b="0"/>
            <wp:wrapThrough wrapText="bothSides" distL="57150" distR="57150">
              <wp:wrapPolygon edited="1">
                <wp:start x="0" y="0"/>
                <wp:lineTo x="21600" y="0"/>
                <wp:lineTo x="21600" y="21600"/>
                <wp:lineTo x="0" y="21600"/>
                <wp:lineTo x="0" y="0"/>
              </wp:wrapPolygon>
            </wp:wrapThrough>
            <wp:docPr id="1073741829" name="officeArt object" descr="Obrázok 4"/>
            <wp:cNvGraphicFramePr/>
            <a:graphic xmlns:a="http://schemas.openxmlformats.org/drawingml/2006/main">
              <a:graphicData uri="http://schemas.openxmlformats.org/drawingml/2006/picture">
                <pic:pic xmlns:pic="http://schemas.openxmlformats.org/drawingml/2006/picture">
                  <pic:nvPicPr>
                    <pic:cNvPr id="1073741829" name="Grafik 4" descr="Grafik 4"/>
                    <pic:cNvPicPr>
                      <a:picLocks noChangeAspect="1"/>
                    </pic:cNvPicPr>
                  </pic:nvPicPr>
                  <pic:blipFill>
                    <a:blip r:embed="rId9"/>
                    <a:stretch>
                      <a:fillRect/>
                    </a:stretch>
                  </pic:blipFill>
                  <pic:spPr>
                    <a:xfrm>
                      <a:off x="0" y="0"/>
                      <a:ext cx="2167200" cy="1782000"/>
                    </a:xfrm>
                    <a:prstGeom prst="rect">
                      <a:avLst/>
                    </a:prstGeom>
                    <a:ln w="12700" cap="flat">
                      <a:noFill/>
                      <a:miter lim="400000"/>
                    </a:ln>
                    <a:effectLst/>
                  </pic:spPr>
                </pic:pic>
              </a:graphicData>
            </a:graphic>
          </wp:anchor>
        </w:drawing>
      </w:r>
    </w:p>
    <w:p w14:paraId="062427A3" w14:textId="0E33C327" w:rsidR="00ED5042" w:rsidRDefault="00B801F9">
      <w:pPr>
        <w:rPr>
          <w:sz w:val="18"/>
          <w:szCs w:val="18"/>
        </w:rPr>
      </w:pPr>
      <w:r>
        <w:rPr>
          <w:sz w:val="18"/>
        </w:rPr>
        <w:t xml:space="preserve">Ergonomický odsávací zvárací horák Exento sa dobre drží v ruke a vďaka poistnému ventilu je možné na jeho rukoväti nastavovať intenzitu odsávacieho výkonu. Je dostupný vo verzii Jobmaster, verzii s ovládaním kolískovým prepínačom UpDown a verzii s tlačidlom horáka navrchu. </w:t>
      </w:r>
    </w:p>
    <w:p w14:paraId="16F91252" w14:textId="77777777" w:rsidR="00ED5042" w:rsidRDefault="00ED5042">
      <w:pPr>
        <w:rPr>
          <w:sz w:val="18"/>
          <w:szCs w:val="18"/>
        </w:rPr>
      </w:pPr>
    </w:p>
    <w:p w14:paraId="6C408BE8" w14:textId="77777777" w:rsidR="00ED5042" w:rsidRDefault="00ED5042">
      <w:pPr>
        <w:rPr>
          <w:sz w:val="18"/>
          <w:szCs w:val="18"/>
        </w:rPr>
      </w:pPr>
    </w:p>
    <w:p w14:paraId="0344455C" w14:textId="77777777" w:rsidR="00ED5042" w:rsidRDefault="00ED5042">
      <w:pPr>
        <w:rPr>
          <w:sz w:val="18"/>
          <w:szCs w:val="18"/>
        </w:rPr>
      </w:pPr>
    </w:p>
    <w:p w14:paraId="6D259A7C" w14:textId="77777777" w:rsidR="00ED5042" w:rsidRDefault="00B801F9">
      <w:pPr>
        <w:rPr>
          <w:sz w:val="18"/>
          <w:szCs w:val="18"/>
        </w:rPr>
      </w:pPr>
      <w:r>
        <w:rPr>
          <w:noProof/>
        </w:rPr>
        <w:drawing>
          <wp:anchor distT="57150" distB="57150" distL="57150" distR="57150" simplePos="0" relativeHeight="251661312" behindDoc="0" locked="0" layoutInCell="1" allowOverlap="1" wp14:anchorId="1207F709" wp14:editId="569CC546">
            <wp:simplePos x="0" y="0"/>
            <wp:positionH relativeFrom="column">
              <wp:posOffset>-4444</wp:posOffset>
            </wp:positionH>
            <wp:positionV relativeFrom="line">
              <wp:posOffset>270509</wp:posOffset>
            </wp:positionV>
            <wp:extent cx="2862580" cy="1905000"/>
            <wp:effectExtent l="0" t="0" r="0" b="0"/>
            <wp:wrapThrough wrapText="bothSides" distL="57150" distR="57150">
              <wp:wrapPolygon edited="1">
                <wp:start x="0" y="0"/>
                <wp:lineTo x="21600" y="0"/>
                <wp:lineTo x="21600" y="21600"/>
                <wp:lineTo x="0" y="21600"/>
                <wp:lineTo x="0" y="0"/>
              </wp:wrapPolygon>
            </wp:wrapThrough>
            <wp:docPr id="1073741830" name="officeArt object" descr="Obrázok 2"/>
            <wp:cNvGraphicFramePr/>
            <a:graphic xmlns:a="http://schemas.openxmlformats.org/drawingml/2006/main">
              <a:graphicData uri="http://schemas.openxmlformats.org/drawingml/2006/picture">
                <pic:pic xmlns:pic="http://schemas.openxmlformats.org/drawingml/2006/picture">
                  <pic:nvPicPr>
                    <pic:cNvPr id="1073741830" name="Grafik 2" descr="Grafik 2"/>
                    <pic:cNvPicPr>
                      <a:picLocks noChangeAspect="1"/>
                    </pic:cNvPicPr>
                  </pic:nvPicPr>
                  <pic:blipFill>
                    <a:blip r:embed="rId10"/>
                    <a:stretch>
                      <a:fillRect/>
                    </a:stretch>
                  </pic:blipFill>
                  <pic:spPr>
                    <a:xfrm>
                      <a:off x="0" y="0"/>
                      <a:ext cx="2862580" cy="1905000"/>
                    </a:xfrm>
                    <a:prstGeom prst="rect">
                      <a:avLst/>
                    </a:prstGeom>
                    <a:ln w="12700" cap="flat">
                      <a:noFill/>
                      <a:miter lim="400000"/>
                    </a:ln>
                    <a:effectLst/>
                  </pic:spPr>
                </pic:pic>
              </a:graphicData>
            </a:graphic>
          </wp:anchor>
        </w:drawing>
      </w:r>
    </w:p>
    <w:p w14:paraId="56A46C80" w14:textId="7DB38A1F" w:rsidR="00ED5042" w:rsidRDefault="00B801F9">
      <w:pPr>
        <w:rPr>
          <w:sz w:val="18"/>
          <w:szCs w:val="18"/>
        </w:rPr>
      </w:pPr>
      <w:r>
        <w:rPr>
          <w:sz w:val="18"/>
        </w:rPr>
        <w:t xml:space="preserve">Výkonné odsávacie zariadenie Exento LowVac s flexibilným odsávacím ramenom sa vyznačuje veľkým uhlom pokrytia. </w:t>
      </w:r>
    </w:p>
    <w:p w14:paraId="38E0AB53" w14:textId="77777777" w:rsidR="00ED5042" w:rsidRDefault="00ED5042">
      <w:pPr>
        <w:rPr>
          <w:sz w:val="18"/>
          <w:szCs w:val="18"/>
        </w:rPr>
      </w:pPr>
    </w:p>
    <w:p w14:paraId="1E196DCA" w14:textId="77777777" w:rsidR="00ED5042" w:rsidRDefault="00ED5042">
      <w:pPr>
        <w:rPr>
          <w:sz w:val="18"/>
          <w:szCs w:val="18"/>
        </w:rPr>
      </w:pPr>
    </w:p>
    <w:p w14:paraId="5095A1AB" w14:textId="77777777" w:rsidR="00ED5042" w:rsidRDefault="00ED5042">
      <w:pPr>
        <w:rPr>
          <w:sz w:val="18"/>
          <w:szCs w:val="18"/>
        </w:rPr>
      </w:pPr>
    </w:p>
    <w:p w14:paraId="1767FB4F" w14:textId="77777777" w:rsidR="00ED5042" w:rsidRDefault="00ED5042">
      <w:pPr>
        <w:jc w:val="both"/>
        <w:rPr>
          <w:sz w:val="18"/>
          <w:szCs w:val="18"/>
        </w:rPr>
      </w:pPr>
    </w:p>
    <w:p w14:paraId="0B20C58B" w14:textId="77777777" w:rsidR="00ED5042" w:rsidRDefault="00ED5042">
      <w:pPr>
        <w:jc w:val="both"/>
        <w:rPr>
          <w:sz w:val="18"/>
          <w:szCs w:val="18"/>
        </w:rPr>
      </w:pPr>
    </w:p>
    <w:p w14:paraId="03470FAF" w14:textId="77777777" w:rsidR="00ED5042" w:rsidRDefault="00B801F9">
      <w:pPr>
        <w:rPr>
          <w:sz w:val="18"/>
          <w:szCs w:val="18"/>
        </w:rPr>
      </w:pPr>
      <w:r>
        <w:rPr>
          <w:noProof/>
        </w:rPr>
        <w:drawing>
          <wp:anchor distT="57150" distB="57150" distL="57150" distR="57150" simplePos="0" relativeHeight="251663360" behindDoc="0" locked="0" layoutInCell="1" allowOverlap="1" wp14:anchorId="5748E053" wp14:editId="21D2BE73">
            <wp:simplePos x="0" y="0"/>
            <wp:positionH relativeFrom="column">
              <wp:posOffset>-4444</wp:posOffset>
            </wp:positionH>
            <wp:positionV relativeFrom="line">
              <wp:posOffset>3810</wp:posOffset>
            </wp:positionV>
            <wp:extent cx="2876401" cy="1929601"/>
            <wp:effectExtent l="0" t="0" r="0" b="0"/>
            <wp:wrapThrough wrapText="bothSides" distL="57150" distR="57150">
              <wp:wrapPolygon edited="1">
                <wp:start x="0" y="0"/>
                <wp:lineTo x="21600" y="0"/>
                <wp:lineTo x="21600" y="21600"/>
                <wp:lineTo x="0" y="21600"/>
                <wp:lineTo x="0" y="0"/>
              </wp:wrapPolygon>
            </wp:wrapThrough>
            <wp:docPr id="1073741831" name="officeArt object" descr="Obrázok 5"/>
            <wp:cNvGraphicFramePr/>
            <a:graphic xmlns:a="http://schemas.openxmlformats.org/drawingml/2006/main">
              <a:graphicData uri="http://schemas.openxmlformats.org/drawingml/2006/picture">
                <pic:pic xmlns:pic="http://schemas.openxmlformats.org/drawingml/2006/picture">
                  <pic:nvPicPr>
                    <pic:cNvPr id="1073741831" name="Grafik 5" descr="Grafik 5"/>
                    <pic:cNvPicPr>
                      <a:picLocks noChangeAspect="1"/>
                    </pic:cNvPicPr>
                  </pic:nvPicPr>
                  <pic:blipFill>
                    <a:blip r:embed="rId11"/>
                    <a:stretch>
                      <a:fillRect/>
                    </a:stretch>
                  </pic:blipFill>
                  <pic:spPr>
                    <a:xfrm>
                      <a:off x="0" y="0"/>
                      <a:ext cx="2876401" cy="1929601"/>
                    </a:xfrm>
                    <a:prstGeom prst="rect">
                      <a:avLst/>
                    </a:prstGeom>
                    <a:ln w="12700" cap="flat">
                      <a:noFill/>
                      <a:miter lim="400000"/>
                    </a:ln>
                    <a:effectLst/>
                  </pic:spPr>
                </pic:pic>
              </a:graphicData>
            </a:graphic>
          </wp:anchor>
        </w:drawing>
      </w:r>
      <w:r>
        <w:rPr>
          <w:sz w:val="18"/>
        </w:rPr>
        <w:t xml:space="preserve">Filter zariadenia Exento LowVac zachytáva extrémne veľa čiastočiek a aj pri výmene bez kontaminácie poskytuje zváračskému personálu zvýšenú bezpečnosť. </w:t>
      </w:r>
    </w:p>
    <w:p w14:paraId="58316A2A" w14:textId="77777777" w:rsidR="00ED5042" w:rsidRDefault="00ED5042">
      <w:pPr>
        <w:jc w:val="both"/>
        <w:rPr>
          <w:sz w:val="18"/>
          <w:szCs w:val="18"/>
        </w:rPr>
      </w:pPr>
    </w:p>
    <w:p w14:paraId="7AC2B2EF" w14:textId="77777777" w:rsidR="00ED5042" w:rsidRDefault="00ED5042">
      <w:pPr>
        <w:jc w:val="both"/>
        <w:rPr>
          <w:sz w:val="18"/>
          <w:szCs w:val="18"/>
        </w:rPr>
      </w:pPr>
    </w:p>
    <w:p w14:paraId="1A577E53" w14:textId="77777777" w:rsidR="00ED5042" w:rsidRDefault="00ED5042">
      <w:pPr>
        <w:jc w:val="both"/>
        <w:rPr>
          <w:sz w:val="18"/>
          <w:szCs w:val="18"/>
        </w:rPr>
      </w:pPr>
    </w:p>
    <w:p w14:paraId="2996079A" w14:textId="77777777" w:rsidR="00ED5042" w:rsidRDefault="00ED5042">
      <w:pPr>
        <w:jc w:val="both"/>
        <w:rPr>
          <w:sz w:val="18"/>
          <w:szCs w:val="18"/>
        </w:rPr>
      </w:pPr>
    </w:p>
    <w:p w14:paraId="7BAE636D" w14:textId="77777777" w:rsidR="00ED5042" w:rsidRDefault="00ED5042">
      <w:pPr>
        <w:jc w:val="both"/>
        <w:rPr>
          <w:sz w:val="18"/>
          <w:szCs w:val="18"/>
        </w:rPr>
      </w:pPr>
    </w:p>
    <w:p w14:paraId="6C294D8C" w14:textId="28880396" w:rsidR="00ED5042" w:rsidRDefault="00B801F9">
      <w:pPr>
        <w:jc w:val="both"/>
        <w:rPr>
          <w:i/>
          <w:sz w:val="18"/>
        </w:rPr>
      </w:pPr>
      <w:r>
        <w:rPr>
          <w:i/>
          <w:sz w:val="18"/>
        </w:rPr>
        <w:t>Fotografie: Fronius International GmbH, výtlačok bez nároku na honorár</w:t>
      </w:r>
    </w:p>
    <w:p w14:paraId="16D7B697" w14:textId="77777777" w:rsidR="00D05513" w:rsidRDefault="00D05513" w:rsidP="00D05513">
      <w:pPr>
        <w:spacing w:after="0"/>
        <w:rPr>
          <w:sz w:val="20"/>
          <w:szCs w:val="20"/>
          <w:u w:val="single"/>
        </w:rPr>
      </w:pPr>
    </w:p>
    <w:p w14:paraId="2F56E1BC" w14:textId="77777777" w:rsidR="00D05513" w:rsidRDefault="00D05513" w:rsidP="00D05513">
      <w:pPr>
        <w:spacing w:after="0"/>
        <w:rPr>
          <w:sz w:val="20"/>
          <w:szCs w:val="20"/>
          <w:u w:val="single"/>
        </w:rPr>
      </w:pPr>
    </w:p>
    <w:p w14:paraId="2D96C281" w14:textId="6C846D02" w:rsidR="00D05513" w:rsidRPr="00D05513" w:rsidRDefault="00D05513" w:rsidP="00D05513">
      <w:pPr>
        <w:spacing w:after="0"/>
        <w:rPr>
          <w:sz w:val="20"/>
          <w:szCs w:val="20"/>
          <w:u w:val="single"/>
        </w:rPr>
      </w:pPr>
      <w:r w:rsidRPr="00D05513">
        <w:rPr>
          <w:sz w:val="20"/>
          <w:szCs w:val="20"/>
          <w:u w:val="single"/>
        </w:rPr>
        <w:t>Obchodná jednotka Perfect Welding</w:t>
      </w:r>
    </w:p>
    <w:p w14:paraId="0BB09154" w14:textId="77777777" w:rsidR="00D05513" w:rsidRPr="00D05513" w:rsidRDefault="00D05513" w:rsidP="00D05513">
      <w:pPr>
        <w:spacing w:after="0"/>
        <w:rPr>
          <w:sz w:val="20"/>
          <w:szCs w:val="20"/>
        </w:rPr>
      </w:pPr>
      <w:r w:rsidRPr="00D05513">
        <w:rPr>
          <w:sz w:val="20"/>
          <w:szCs w:val="20"/>
        </w:rPr>
        <w:t xml:space="preserve">Fronius Perfect Welding je lídrom inovácií v oblasti zvárania elektrickým oblúkom, ako aj vedúca spoločnosť na trhu robotického zvárania. Ako systémový poskytovateľ realizuje obchodná jednotka Fronius Welding Automation okrem toho aj kompletné riešenia automatizovaného zvárania prispôsobené potrebám zákazníka, napríklad pri výstavbe nádrží alebo na plátovanie na mori (offshore). Portfólio dopĺňajú prúdové zdroje na ručné použitie, zváracie príslušenstvo a široké spektrum služieb. S vyše 1 000 obchodnými partnermi na celom svete je obchodná jednotka Fronius Perfect Welding zákazníkovi vždy nablízku. </w:t>
      </w:r>
    </w:p>
    <w:p w14:paraId="0FC3FB6A" w14:textId="77777777" w:rsidR="00D05513" w:rsidRPr="00D05513" w:rsidRDefault="00D05513" w:rsidP="00D05513">
      <w:pPr>
        <w:spacing w:after="0"/>
        <w:rPr>
          <w:sz w:val="20"/>
          <w:szCs w:val="20"/>
        </w:rPr>
      </w:pPr>
    </w:p>
    <w:p w14:paraId="6C90D850" w14:textId="77777777" w:rsidR="00D05513" w:rsidRPr="00D05513" w:rsidRDefault="00D05513" w:rsidP="00D05513">
      <w:pPr>
        <w:spacing w:after="0"/>
        <w:rPr>
          <w:sz w:val="20"/>
          <w:szCs w:val="20"/>
          <w:u w:val="single"/>
        </w:rPr>
      </w:pPr>
      <w:r w:rsidRPr="00D05513">
        <w:rPr>
          <w:sz w:val="20"/>
          <w:szCs w:val="20"/>
          <w:u w:val="single"/>
        </w:rPr>
        <w:t>Fronius International GmbH</w:t>
      </w:r>
    </w:p>
    <w:p w14:paraId="0BC767DB" w14:textId="77777777" w:rsidR="00D05513" w:rsidRPr="00D05513" w:rsidRDefault="00D05513" w:rsidP="00D05513">
      <w:pPr>
        <w:spacing w:after="0"/>
        <w:rPr>
          <w:sz w:val="20"/>
          <w:szCs w:val="20"/>
        </w:rPr>
      </w:pPr>
      <w:r w:rsidRPr="00D05513">
        <w:rPr>
          <w:sz w:val="20"/>
          <w:szCs w:val="20"/>
        </w:rPr>
        <w:t>Fronius International je rakúska spoločnosť so sídlom v Pettenbachu a s ďalšími prevádzkami vo Welse, Thalheime a Sattledte. Spoločnosť celkovo zamestnáva 6 100 zamestnancov a pôsobí v oblasti zváracej techniky, fotovoltiky a systémov nabíjania akumulátorov. Podiel exportu predstavujúci približne 89 percent sa dosahuje vďaka 36 medzinárodným spoločnostiam Fronius a obchodným partnerom/zastúpeniam vo viac ako 60 krajinách. S inovačnými produktmi a službami, ako aj 1.366 udelenými patentmi je spoločnosť Fronius lídrom v inováciách na svetovom trhu.</w:t>
      </w:r>
    </w:p>
    <w:p w14:paraId="0D82C8D7" w14:textId="77777777" w:rsidR="00D05513" w:rsidRPr="00D05513" w:rsidRDefault="00D05513" w:rsidP="00D05513">
      <w:pPr>
        <w:spacing w:after="0"/>
        <w:rPr>
          <w:sz w:val="20"/>
          <w:szCs w:val="20"/>
        </w:rPr>
      </w:pPr>
    </w:p>
    <w:p w14:paraId="6D5F91C8" w14:textId="77777777" w:rsidR="00D05513" w:rsidRPr="00D05513" w:rsidRDefault="00D05513" w:rsidP="00D05513">
      <w:pPr>
        <w:spacing w:after="0"/>
        <w:rPr>
          <w:sz w:val="20"/>
          <w:szCs w:val="20"/>
        </w:rPr>
      </w:pPr>
    </w:p>
    <w:p w14:paraId="06688FE9" w14:textId="77777777" w:rsidR="00D05513" w:rsidRPr="00D05513" w:rsidRDefault="00D05513" w:rsidP="00D05513">
      <w:pPr>
        <w:spacing w:after="0"/>
        <w:rPr>
          <w:sz w:val="20"/>
          <w:szCs w:val="20"/>
          <w:u w:val="single"/>
        </w:rPr>
      </w:pPr>
      <w:r w:rsidRPr="00D05513">
        <w:rPr>
          <w:sz w:val="20"/>
          <w:szCs w:val="20"/>
          <w:u w:val="single"/>
        </w:rPr>
        <w:t>So žiadosťou o ďalšie informácie sa obracajte na:</w:t>
      </w:r>
    </w:p>
    <w:p w14:paraId="746580A2" w14:textId="77777777" w:rsidR="00D05513" w:rsidRPr="00D05513" w:rsidRDefault="00D05513" w:rsidP="00D05513">
      <w:pPr>
        <w:spacing w:after="0"/>
        <w:rPr>
          <w:sz w:val="20"/>
          <w:szCs w:val="20"/>
        </w:rPr>
      </w:pPr>
      <w:r w:rsidRPr="00D05513">
        <w:rPr>
          <w:sz w:val="20"/>
          <w:szCs w:val="20"/>
        </w:rPr>
        <w:t>FRONIUS Slovensko s.r.o.</w:t>
      </w:r>
    </w:p>
    <w:p w14:paraId="7504C062" w14:textId="77777777" w:rsidR="00D05513" w:rsidRPr="00D05513" w:rsidRDefault="00D05513" w:rsidP="00D05513">
      <w:pPr>
        <w:spacing w:after="0"/>
        <w:rPr>
          <w:sz w:val="20"/>
          <w:szCs w:val="20"/>
        </w:rPr>
      </w:pPr>
      <w:r w:rsidRPr="00D05513">
        <w:rPr>
          <w:sz w:val="20"/>
          <w:szCs w:val="20"/>
        </w:rPr>
        <w:t>Karcz Lenka</w:t>
      </w:r>
    </w:p>
    <w:p w14:paraId="5255616B" w14:textId="77777777" w:rsidR="00D05513" w:rsidRPr="00D05513" w:rsidRDefault="00D05513" w:rsidP="00D05513">
      <w:pPr>
        <w:spacing w:after="0"/>
        <w:rPr>
          <w:sz w:val="20"/>
          <w:szCs w:val="20"/>
        </w:rPr>
      </w:pPr>
      <w:r w:rsidRPr="00D05513">
        <w:rPr>
          <w:sz w:val="20"/>
          <w:szCs w:val="20"/>
        </w:rPr>
        <w:t>Tel. +421 0 33/5907570</w:t>
      </w:r>
    </w:p>
    <w:p w14:paraId="30871C6A" w14:textId="77777777" w:rsidR="00D05513" w:rsidRPr="00D05513" w:rsidRDefault="00D05513" w:rsidP="00D05513">
      <w:pPr>
        <w:spacing w:after="0"/>
        <w:rPr>
          <w:sz w:val="20"/>
          <w:szCs w:val="20"/>
        </w:rPr>
      </w:pPr>
      <w:r w:rsidRPr="00D05513">
        <w:rPr>
          <w:sz w:val="20"/>
          <w:szCs w:val="20"/>
        </w:rPr>
        <w:t xml:space="preserve">E-Mail: </w:t>
      </w:r>
      <w:hyperlink r:id="rId12" w:history="1">
        <w:r w:rsidRPr="00D05513">
          <w:rPr>
            <w:sz w:val="20"/>
            <w:szCs w:val="20"/>
          </w:rPr>
          <w:t>karcz.lenka@fronius.com</w:t>
        </w:r>
      </w:hyperlink>
    </w:p>
    <w:p w14:paraId="4A59E07B" w14:textId="77777777" w:rsidR="00D05513" w:rsidRPr="00D05513" w:rsidRDefault="00D05513" w:rsidP="00D05513">
      <w:pPr>
        <w:spacing w:after="0"/>
        <w:rPr>
          <w:sz w:val="20"/>
          <w:szCs w:val="20"/>
        </w:rPr>
      </w:pPr>
    </w:p>
    <w:p w14:paraId="75059D95" w14:textId="77777777" w:rsidR="00D05513" w:rsidRPr="00D05513" w:rsidRDefault="00D05513" w:rsidP="00D05513">
      <w:pPr>
        <w:spacing w:after="0"/>
        <w:rPr>
          <w:sz w:val="20"/>
          <w:szCs w:val="20"/>
        </w:rPr>
      </w:pPr>
    </w:p>
    <w:p w14:paraId="737B413B" w14:textId="77777777" w:rsidR="00D05513" w:rsidRPr="00D05513" w:rsidRDefault="00D05513" w:rsidP="00D05513">
      <w:pPr>
        <w:spacing w:after="0"/>
        <w:rPr>
          <w:sz w:val="20"/>
          <w:szCs w:val="20"/>
          <w:u w:val="single"/>
        </w:rPr>
      </w:pPr>
      <w:r w:rsidRPr="00D05513">
        <w:rPr>
          <w:sz w:val="20"/>
          <w:szCs w:val="20"/>
          <w:u w:val="single"/>
        </w:rPr>
        <w:t>Zašlite dokladový výtlačok do našej agentúry:</w:t>
      </w:r>
    </w:p>
    <w:p w14:paraId="5A82680C" w14:textId="77777777" w:rsidR="00D05513" w:rsidRPr="00D05513" w:rsidRDefault="00D05513" w:rsidP="00D05513">
      <w:pPr>
        <w:spacing w:after="0"/>
        <w:rPr>
          <w:sz w:val="20"/>
          <w:szCs w:val="20"/>
        </w:rPr>
      </w:pPr>
      <w:r w:rsidRPr="00D05513">
        <w:rPr>
          <w:sz w:val="20"/>
          <w:szCs w:val="20"/>
        </w:rPr>
        <w:t>a1kommunikation Schweizer GmbH, pani Kirsten Ludwig,</w:t>
      </w:r>
    </w:p>
    <w:p w14:paraId="57DE78B0" w14:textId="77777777" w:rsidR="00D05513" w:rsidRPr="00D05513" w:rsidRDefault="00D05513" w:rsidP="00D05513">
      <w:pPr>
        <w:spacing w:after="0"/>
        <w:rPr>
          <w:sz w:val="20"/>
          <w:szCs w:val="20"/>
        </w:rPr>
      </w:pPr>
      <w:r w:rsidRPr="00D05513">
        <w:rPr>
          <w:sz w:val="20"/>
          <w:szCs w:val="20"/>
        </w:rPr>
        <w:t>Oberdorfstraße 31 A, 70794 Filderstadt, Deutschland</w:t>
      </w:r>
    </w:p>
    <w:p w14:paraId="0CC8DA19" w14:textId="77777777" w:rsidR="00D05513" w:rsidRPr="00D05513" w:rsidRDefault="00D05513" w:rsidP="00D05513">
      <w:pPr>
        <w:spacing w:after="0"/>
        <w:rPr>
          <w:sz w:val="20"/>
          <w:szCs w:val="20"/>
        </w:rPr>
      </w:pPr>
      <w:r w:rsidRPr="00D05513">
        <w:rPr>
          <w:sz w:val="20"/>
          <w:szCs w:val="20"/>
        </w:rPr>
        <w:t xml:space="preserve">tel.: +49 0 711 9454161-20, </w:t>
      </w:r>
      <w:r w:rsidRPr="00D05513">
        <w:rPr>
          <w:sz w:val="20"/>
          <w:szCs w:val="20"/>
        </w:rPr>
        <w:br/>
        <w:t xml:space="preserve">e-mail: </w:t>
      </w:r>
      <w:hyperlink r:id="rId13" w:history="1">
        <w:r w:rsidRPr="00D05513">
          <w:rPr>
            <w:sz w:val="20"/>
            <w:szCs w:val="20"/>
          </w:rPr>
          <w:t>kirsten.ludwig@a1kommunikation.de</w:t>
        </w:r>
      </w:hyperlink>
    </w:p>
    <w:p w14:paraId="596216FB" w14:textId="77777777" w:rsidR="00D05513" w:rsidRPr="00D05513" w:rsidRDefault="00D05513" w:rsidP="00D05513">
      <w:pPr>
        <w:spacing w:after="0"/>
        <w:rPr>
          <w:sz w:val="20"/>
          <w:szCs w:val="20"/>
        </w:rPr>
      </w:pPr>
    </w:p>
    <w:p w14:paraId="231892FF" w14:textId="77777777" w:rsidR="00D05513" w:rsidRPr="00D05513" w:rsidRDefault="00D05513" w:rsidP="00D05513">
      <w:pPr>
        <w:spacing w:after="0"/>
        <w:rPr>
          <w:sz w:val="20"/>
          <w:szCs w:val="20"/>
        </w:rPr>
      </w:pPr>
    </w:p>
    <w:p w14:paraId="00CC0520" w14:textId="77777777" w:rsidR="00D05513" w:rsidRPr="00D05513" w:rsidRDefault="00D05513" w:rsidP="00D05513">
      <w:pPr>
        <w:spacing w:after="0"/>
        <w:rPr>
          <w:sz w:val="20"/>
          <w:szCs w:val="20"/>
        </w:rPr>
      </w:pPr>
      <w:r w:rsidRPr="00D05513">
        <w:rPr>
          <w:sz w:val="20"/>
          <w:szCs w:val="20"/>
        </w:rPr>
        <w:t>Ďalšie zaujímavé novinky nájdete na našom blogu na stránke blog.perfectwelding.fronius.com a sledujte nás aj na Facebooku (froniuswelding), Twitteri (froniusintweld), LinkedIne (perfect-welding), Instagrame (froniuswelding) a YouTube (froniuswelding)!</w:t>
      </w:r>
    </w:p>
    <w:p w14:paraId="2DED50DA" w14:textId="77777777" w:rsidR="00D05513" w:rsidRPr="00D72904" w:rsidRDefault="00D05513" w:rsidP="00D05513">
      <w:pPr>
        <w:rPr>
          <w:sz w:val="16"/>
          <w:szCs w:val="16"/>
        </w:rPr>
      </w:pPr>
    </w:p>
    <w:p w14:paraId="04FE5F32" w14:textId="77777777" w:rsidR="00D05513" w:rsidRDefault="00D05513">
      <w:pPr>
        <w:jc w:val="both"/>
      </w:pPr>
    </w:p>
    <w:sectPr w:rsidR="00D05513" w:rsidSect="00D05513">
      <w:headerReference w:type="default" r:id="rId14"/>
      <w:footerReference w:type="default" r:id="rId15"/>
      <w:pgSz w:w="11900" w:h="16840"/>
      <w:pgMar w:top="1417" w:right="1417" w:bottom="28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303C32" w14:textId="77777777" w:rsidR="004D0D77" w:rsidRDefault="004D0D77">
      <w:pPr>
        <w:spacing w:after="0" w:line="240" w:lineRule="auto"/>
      </w:pPr>
      <w:r>
        <w:separator/>
      </w:r>
    </w:p>
  </w:endnote>
  <w:endnote w:type="continuationSeparator" w:id="0">
    <w:p w14:paraId="0647C796" w14:textId="77777777" w:rsidR="004D0D77" w:rsidRDefault="004D0D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Noto Sans">
    <w:panose1 w:val="020B0502040504020204"/>
    <w:charset w:val="00"/>
    <w:family w:val="swiss"/>
    <w:pitch w:val="variable"/>
    <w:sig w:usb0="E00082FF" w:usb1="400078FF" w:usb2="00000021" w:usb3="00000000" w:csb0="0000019F" w:csb1="00000000"/>
  </w:font>
  <w:font w:name="Segoe UI">
    <w:panose1 w:val="020B0502040204020203"/>
    <w:charset w:val="00"/>
    <w:family w:val="swiss"/>
    <w:pitch w:val="variable"/>
    <w:sig w:usb0="E4002EFF" w:usb1="C000E47F" w:usb2="00000009" w:usb3="00000000" w:csb0="000001FF"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D774D" w14:textId="77777777" w:rsidR="00ED5042" w:rsidRDefault="00ED5042">
    <w:pPr>
      <w:pStyle w:val="Fuzeile"/>
      <w:tabs>
        <w:tab w:val="clear" w:pos="9072"/>
        <w:tab w:val="right" w:pos="904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AC75DE" w14:textId="77777777" w:rsidR="004D0D77" w:rsidRDefault="004D0D77">
      <w:pPr>
        <w:spacing w:after="0" w:line="240" w:lineRule="auto"/>
      </w:pPr>
      <w:r>
        <w:separator/>
      </w:r>
    </w:p>
  </w:footnote>
  <w:footnote w:type="continuationSeparator" w:id="0">
    <w:p w14:paraId="5CBB68F8" w14:textId="77777777" w:rsidR="004D0D77" w:rsidRDefault="004D0D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ACBDB" w14:textId="77777777" w:rsidR="00ED5042" w:rsidRDefault="00B801F9">
    <w:pPr>
      <w:pStyle w:val="Kopfzeile"/>
      <w:tabs>
        <w:tab w:val="clear" w:pos="9072"/>
        <w:tab w:val="right" w:pos="9046"/>
      </w:tabs>
    </w:pPr>
    <w:r>
      <w:rPr>
        <w:noProof/>
      </w:rPr>
      <w:drawing>
        <wp:anchor distT="152400" distB="152400" distL="152400" distR="152400" simplePos="0" relativeHeight="251658240" behindDoc="1" locked="0" layoutInCell="1" allowOverlap="1" wp14:anchorId="2CE103A4" wp14:editId="4F557774">
          <wp:simplePos x="0" y="0"/>
          <wp:positionH relativeFrom="page">
            <wp:posOffset>5949589</wp:posOffset>
          </wp:positionH>
          <wp:positionV relativeFrom="page">
            <wp:posOffset>350091</wp:posOffset>
          </wp:positionV>
          <wp:extent cx="1260001" cy="369528"/>
          <wp:effectExtent l="0" t="0" r="0" b="0"/>
          <wp:wrapNone/>
          <wp:docPr id="16" name="officeArt object" descr="Obrázok 1"/>
          <wp:cNvGraphicFramePr/>
          <a:graphic xmlns:a="http://schemas.openxmlformats.org/drawingml/2006/main">
            <a:graphicData uri="http://schemas.openxmlformats.org/drawingml/2006/picture">
              <pic:pic xmlns:pic="http://schemas.openxmlformats.org/drawingml/2006/picture">
                <pic:nvPicPr>
                  <pic:cNvPr id="1073741825" name="Grafik 1" descr="Grafik 1"/>
                  <pic:cNvPicPr>
                    <a:picLocks noChangeAspect="1"/>
                  </pic:cNvPicPr>
                </pic:nvPicPr>
                <pic:blipFill>
                  <a:blip r:embed="rId1"/>
                  <a:stretch>
                    <a:fillRect/>
                  </a:stretch>
                </pic:blipFill>
                <pic:spPr>
                  <a:xfrm>
                    <a:off x="0" y="0"/>
                    <a:ext cx="1260001" cy="369528"/>
                  </a:xfrm>
                  <a:prstGeom prst="rect">
                    <a:avLst/>
                  </a:prstGeom>
                  <a:ln w="12700" cap="flat">
                    <a:noFill/>
                    <a:miter lim="400000"/>
                  </a:ln>
                  <a:effectLst/>
                </pic:spPr>
              </pic:pic>
            </a:graphicData>
          </a:graphic>
        </wp:anchor>
      </w:drawing>
    </w:r>
    <w:r>
      <w:rPr>
        <w:noProof/>
      </w:rPr>
      <mc:AlternateContent>
        <mc:Choice Requires="wps">
          <w:drawing>
            <wp:anchor distT="152400" distB="152400" distL="152400" distR="152400" simplePos="0" relativeHeight="251659264" behindDoc="1" locked="0" layoutInCell="1" allowOverlap="1" wp14:anchorId="1CD484EB" wp14:editId="1FFBF4CE">
              <wp:simplePos x="0" y="0"/>
              <wp:positionH relativeFrom="page">
                <wp:posOffset>848360</wp:posOffset>
              </wp:positionH>
              <wp:positionV relativeFrom="page">
                <wp:posOffset>10050144</wp:posOffset>
              </wp:positionV>
              <wp:extent cx="6050915" cy="222884"/>
              <wp:effectExtent l="0" t="0" r="0" b="0"/>
              <wp:wrapNone/>
              <wp:docPr id="1073741826" name="officeArt object" descr="Textové pole 212"/>
              <wp:cNvGraphicFramePr/>
              <a:graphic xmlns:a="http://schemas.openxmlformats.org/drawingml/2006/main">
                <a:graphicData uri="http://schemas.microsoft.com/office/word/2010/wordprocessingShape">
                  <wps:wsp>
                    <wps:cNvSpPr txBox="1"/>
                    <wps:spPr>
                      <a:xfrm>
                        <a:off x="0" y="0"/>
                        <a:ext cx="6050915" cy="222884"/>
                      </a:xfrm>
                      <a:prstGeom prst="rect">
                        <a:avLst/>
                      </a:prstGeom>
                      <a:noFill/>
                      <a:ln w="12700" cap="flat">
                        <a:noFill/>
                        <a:miter lim="400000"/>
                      </a:ln>
                      <a:effectLst/>
                    </wps:spPr>
                    <wps:txbx>
                      <w:txbxContent>
                        <w:p w14:paraId="55A147B8" w14:textId="77777777" w:rsidR="00ED5042" w:rsidRDefault="00B801F9">
                          <w:pPr>
                            <w:spacing w:after="0" w:line="293" w:lineRule="auto"/>
                          </w:pPr>
                          <w:r>
                            <w:rPr>
                              <w:sz w:val="12"/>
                            </w:rPr>
                            <w:t>Trieda informácií: verejné</w:t>
                          </w:r>
                        </w:p>
                      </w:txbxContent>
                    </wps:txbx>
                    <wps:bodyPr wrap="square" lIns="45719" tIns="45719" rIns="45719" bIns="45719" numCol="1" anchor="t">
                      <a:noAutofit/>
                    </wps:bodyPr>
                  </wps:wsp>
                </a:graphicData>
              </a:graphic>
            </wp:anchor>
          </w:drawing>
        </mc:Choice>
        <mc:Fallback>
          <w:pict>
            <v:shapetype w14:anchorId="1CD484EB" id="_x0000_t202" coordsize="21600,21600" o:spt="202" path="m,l,21600r21600,l21600,xe">
              <v:stroke joinstyle="miter"/>
              <v:path gradientshapeok="t" o:connecttype="rect"/>
            </v:shapetype>
            <v:shape id="officeArt object" o:spid="_x0000_s1026" type="#_x0000_t202" alt="Title:  - Description: Textové pole 212" style="position:absolute;margin-left:66.8pt;margin-top:791.35pt;width:476.45pt;height:17.55pt;z-index:-251657216;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" filled="f" stroked="f" strokeweight="1pt">
              <v:stroke miterlimit="4"/>
              <v:textbox inset="1.27mm,1.27mm,1.27mm,1.27mm">
                <w:txbxContent>
                  <w:p w14:paraId="55A147B8" w14:textId="77777777" w:rsidR="00ED5042" w:rsidRDefault="00B801F9">
                    <w:pPr>
                      <w:spacing w:after="0" w:line="293" w:lineRule="auto"/>
                    </w:pPr>
                    <w:r>
                      <w:rPr>
                        <w:sz w:val="12"/>
                      </w:rPr>
                      <w:t xml:space="preserve">Trieda informácií: verejné</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isplayBackgroundShape/>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042"/>
    <w:rsid w:val="000039B8"/>
    <w:rsid w:val="00011FC5"/>
    <w:rsid w:val="000571F8"/>
    <w:rsid w:val="000B3BF0"/>
    <w:rsid w:val="000C6FB2"/>
    <w:rsid w:val="000E6245"/>
    <w:rsid w:val="00141239"/>
    <w:rsid w:val="00153E62"/>
    <w:rsid w:val="0018477B"/>
    <w:rsid w:val="001E246D"/>
    <w:rsid w:val="00200AA8"/>
    <w:rsid w:val="00202493"/>
    <w:rsid w:val="00237169"/>
    <w:rsid w:val="002968C9"/>
    <w:rsid w:val="002B5D18"/>
    <w:rsid w:val="00331F38"/>
    <w:rsid w:val="00370A52"/>
    <w:rsid w:val="00375162"/>
    <w:rsid w:val="004B7F42"/>
    <w:rsid w:val="004C3056"/>
    <w:rsid w:val="004D0D77"/>
    <w:rsid w:val="004E21B3"/>
    <w:rsid w:val="004E230C"/>
    <w:rsid w:val="005010EB"/>
    <w:rsid w:val="00555EE0"/>
    <w:rsid w:val="005634D3"/>
    <w:rsid w:val="00570F69"/>
    <w:rsid w:val="00585EEA"/>
    <w:rsid w:val="005D343B"/>
    <w:rsid w:val="00654255"/>
    <w:rsid w:val="006626BC"/>
    <w:rsid w:val="007860AD"/>
    <w:rsid w:val="007A6146"/>
    <w:rsid w:val="00975E4F"/>
    <w:rsid w:val="0097670B"/>
    <w:rsid w:val="0098114E"/>
    <w:rsid w:val="00A85C34"/>
    <w:rsid w:val="00AA2255"/>
    <w:rsid w:val="00AF7BBD"/>
    <w:rsid w:val="00B40422"/>
    <w:rsid w:val="00B72C9F"/>
    <w:rsid w:val="00B801F9"/>
    <w:rsid w:val="00B865C9"/>
    <w:rsid w:val="00BF570B"/>
    <w:rsid w:val="00C42844"/>
    <w:rsid w:val="00C42B00"/>
    <w:rsid w:val="00CF5BE6"/>
    <w:rsid w:val="00D05513"/>
    <w:rsid w:val="00D3161E"/>
    <w:rsid w:val="00D6148E"/>
    <w:rsid w:val="00E277FF"/>
    <w:rsid w:val="00EA6CB1"/>
    <w:rsid w:val="00EB20A8"/>
    <w:rsid w:val="00ED2C83"/>
    <w:rsid w:val="00ED5042"/>
    <w:rsid w:val="00EF3C07"/>
    <w:rsid w:val="00F76B06"/>
    <w:rsid w:val="00F97DF4"/>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8A2AEED"/>
  <w15:docId w15:val="{EBA280C1-EA2F-40B0-9F53-5444274C4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sk-SK" w:eastAsia="de-A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rPr>
      <w:rFonts w:ascii="Noto Sans" w:eastAsia="Noto Sans" w:hAnsi="Noto Sans" w:cs="Noto Sans"/>
      <w:color w:val="000000"/>
      <w:sz w:val="22"/>
      <w:szCs w:val="22"/>
      <w:u w:color="000000"/>
      <w14:textOutline w14:w="0" w14:cap="flat" w14:cmpd="sng" w14:algn="ctr">
        <w14:noFill/>
        <w14:prstDash w14:val="solid"/>
        <w14:bevel/>
      </w14:textOutline>
    </w:rPr>
  </w:style>
  <w:style w:type="paragraph" w:styleId="berschrift1">
    <w:name w:val="heading 1"/>
    <w:next w:val="Standard"/>
    <w:uiPriority w:val="9"/>
    <w:qFormat/>
    <w:pPr>
      <w:keepNext/>
      <w:keepLines/>
      <w:spacing w:before="240" w:line="259" w:lineRule="auto"/>
      <w:outlineLvl w:val="0"/>
    </w:pPr>
    <w:rPr>
      <w:rFonts w:ascii="Noto Sans" w:eastAsia="Noto Sans" w:hAnsi="Noto Sans" w:cs="Noto Sans"/>
      <w:color w:val="D73237"/>
      <w:sz w:val="36"/>
      <w:szCs w:val="36"/>
      <w:u w:color="D73237"/>
    </w:rPr>
  </w:style>
  <w:style w:type="paragraph" w:styleId="berschrift2">
    <w:name w:val="heading 2"/>
    <w:next w:val="Standard"/>
    <w:uiPriority w:val="9"/>
    <w:unhideWhenUsed/>
    <w:qFormat/>
    <w:pPr>
      <w:keepNext/>
      <w:keepLines/>
      <w:spacing w:before="40" w:line="259" w:lineRule="auto"/>
      <w:outlineLvl w:val="1"/>
    </w:pPr>
    <w:rPr>
      <w:rFonts w:ascii="Noto Sans" w:eastAsia="Noto Sans" w:hAnsi="Noto Sans" w:cs="Noto Sans"/>
      <w:color w:val="D73237"/>
      <w:sz w:val="28"/>
      <w:szCs w:val="28"/>
      <w:u w:color="D73237"/>
    </w:rPr>
  </w:style>
  <w:style w:type="paragraph" w:styleId="berschrift4">
    <w:name w:val="heading 4"/>
    <w:next w:val="Standard"/>
    <w:uiPriority w:val="9"/>
    <w:unhideWhenUsed/>
    <w:qFormat/>
    <w:pPr>
      <w:keepNext/>
      <w:keepLines/>
      <w:spacing w:before="40" w:line="259" w:lineRule="auto"/>
      <w:outlineLvl w:val="3"/>
    </w:pPr>
    <w:rPr>
      <w:rFonts w:ascii="Noto Sans" w:eastAsia="Noto Sans" w:hAnsi="Noto Sans" w:cs="Noto Sans"/>
      <w:color w:val="000000"/>
      <w:sz w:val="22"/>
      <w:szCs w:val="22"/>
      <w:u w:val="single"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styleId="Kopfzeile">
    <w:name w:val="header"/>
    <w:pPr>
      <w:tabs>
        <w:tab w:val="center" w:pos="4536"/>
        <w:tab w:val="right" w:pos="9072"/>
      </w:tabs>
    </w:pPr>
    <w:rPr>
      <w:rFonts w:ascii="Noto Sans" w:eastAsia="Noto Sans" w:hAnsi="Noto Sans" w:cs="Noto Sans"/>
      <w:color w:val="000000"/>
      <w:sz w:val="22"/>
      <w:szCs w:val="22"/>
      <w:u w:color="000000"/>
    </w:rPr>
  </w:style>
  <w:style w:type="paragraph" w:styleId="Fuzeile">
    <w:name w:val="footer"/>
    <w:pPr>
      <w:tabs>
        <w:tab w:val="center" w:pos="4536"/>
        <w:tab w:val="right" w:pos="9072"/>
      </w:tabs>
    </w:pPr>
    <w:rPr>
      <w:rFonts w:ascii="Noto Sans" w:eastAsia="Noto Sans" w:hAnsi="Noto Sans" w:cs="Noto Sans"/>
      <w:color w:val="000000"/>
      <w:sz w:val="22"/>
      <w:szCs w:val="22"/>
      <w:u w:color="000000"/>
    </w:rPr>
  </w:style>
  <w:style w:type="paragraph" w:customStyle="1" w:styleId="HeadlineGreen">
    <w:name w:val="Headline Green"/>
    <w:next w:val="Standard"/>
    <w:pPr>
      <w:keepNext/>
      <w:keepLines/>
      <w:spacing w:before="240" w:line="259" w:lineRule="auto"/>
      <w:outlineLvl w:val="0"/>
    </w:pPr>
    <w:rPr>
      <w:rFonts w:ascii="Noto Sans" w:eastAsia="Noto Sans" w:hAnsi="Noto Sans" w:cs="Noto Sans"/>
      <w:color w:val="B4C3AA"/>
      <w:sz w:val="36"/>
      <w:szCs w:val="36"/>
      <w:u w:color="B4C3AA"/>
    </w:rPr>
  </w:style>
  <w:style w:type="paragraph" w:styleId="Kommentartext">
    <w:name w:val="annotation text"/>
    <w:basedOn w:val="Standard"/>
    <w:link w:val="KommentartextZchn"/>
    <w:uiPriority w:val="99"/>
    <w:unhideWhenUsed/>
    <w:pPr>
      <w:spacing w:line="240" w:lineRule="auto"/>
    </w:pPr>
    <w:rPr>
      <w:sz w:val="20"/>
      <w:szCs w:val="20"/>
    </w:rPr>
  </w:style>
  <w:style w:type="character" w:customStyle="1" w:styleId="KommentartextZchn">
    <w:name w:val="Kommentartext Zchn"/>
    <w:basedOn w:val="Absatz-Standardschriftart"/>
    <w:link w:val="Kommentartext"/>
    <w:uiPriority w:val="99"/>
    <w:rPr>
      <w:rFonts w:ascii="Noto Sans" w:eastAsia="Noto Sans" w:hAnsi="Noto Sans" w:cs="Noto Sans"/>
      <w:color w:val="000000"/>
      <w:u w:color="000000"/>
      <w:lang w:val="sk-SK"/>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 w:type="paragraph" w:styleId="berarbeitung">
    <w:name w:val="Revision"/>
    <w:hidden/>
    <w:uiPriority w:val="99"/>
    <w:semiHidden/>
    <w:rsid w:val="00D6148E"/>
    <w:pPr>
      <w:pBdr>
        <w:top w:val="none" w:sz="0" w:space="0" w:color="auto"/>
        <w:left w:val="none" w:sz="0" w:space="0" w:color="auto"/>
        <w:bottom w:val="none" w:sz="0" w:space="0" w:color="auto"/>
        <w:right w:val="none" w:sz="0" w:space="0" w:color="auto"/>
        <w:between w:val="none" w:sz="0" w:space="0" w:color="auto"/>
        <w:bar w:val="none" w:sz="0" w:color="auto"/>
      </w:pBdr>
    </w:pPr>
    <w:rPr>
      <w:rFonts w:ascii="Noto Sans" w:eastAsia="Noto Sans" w:hAnsi="Noto Sans" w:cs="Noto Sans"/>
      <w:color w:val="000000"/>
      <w:sz w:val="22"/>
      <w:szCs w:val="22"/>
      <w:u w:color="000000"/>
      <w14:textOutline w14:w="0" w14:cap="flat" w14:cmpd="sng" w14:algn="ctr">
        <w14:noFill/>
        <w14:prstDash w14:val="solid"/>
        <w14:bevel/>
      </w14:textOutline>
    </w:rPr>
  </w:style>
  <w:style w:type="paragraph" w:styleId="Kommentarthema">
    <w:name w:val="annotation subject"/>
    <w:basedOn w:val="Kommentartext"/>
    <w:next w:val="Kommentartext"/>
    <w:link w:val="KommentarthemaZchn"/>
    <w:uiPriority w:val="99"/>
    <w:semiHidden/>
    <w:unhideWhenUsed/>
    <w:rsid w:val="00D6148E"/>
    <w:rPr>
      <w:b/>
      <w:bCs/>
    </w:rPr>
  </w:style>
  <w:style w:type="character" w:customStyle="1" w:styleId="KommentarthemaZchn">
    <w:name w:val="Kommentarthema Zchn"/>
    <w:basedOn w:val="KommentartextZchn"/>
    <w:link w:val="Kommentarthema"/>
    <w:uiPriority w:val="99"/>
    <w:semiHidden/>
    <w:rsid w:val="00D6148E"/>
    <w:rPr>
      <w:rFonts w:ascii="Noto Sans" w:eastAsia="Noto Sans" w:hAnsi="Noto Sans" w:cs="Noto Sans"/>
      <w:b/>
      <w:bCs/>
      <w:color w:val="000000"/>
      <w:u w:color="000000"/>
      <w:lang w:val="sk-SK"/>
      <w14:textOutline w14:w="0" w14:cap="flat" w14:cmpd="sng" w14:algn="ctr">
        <w14:noFill/>
        <w14:prstDash w14:val="solid"/>
        <w14:bevel/>
      </w14:textOutline>
    </w:rPr>
  </w:style>
  <w:style w:type="paragraph" w:styleId="Sprechblasentext">
    <w:name w:val="Balloon Text"/>
    <w:basedOn w:val="Standard"/>
    <w:link w:val="SprechblasentextZchn"/>
    <w:uiPriority w:val="99"/>
    <w:semiHidden/>
    <w:unhideWhenUsed/>
    <w:rsid w:val="000039B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039B8"/>
    <w:rPr>
      <w:rFonts w:ascii="Segoe UI" w:eastAsia="Noto Sans" w:hAnsi="Segoe UI" w:cs="Segoe UI"/>
      <w:color w:val="000000"/>
      <w:sz w:val="18"/>
      <w:szCs w:val="18"/>
      <w:u w:color="000000"/>
      <w:lang w:val="sk-SK"/>
      <w14:textOutline w14:w="0" w14:cap="flat" w14:cmpd="sng" w14:algn="ctr">
        <w14:noFill/>
        <w14:prstDash w14:val="solid"/>
        <w14:bevel/>
      </w14:textOutline>
    </w:rPr>
  </w:style>
  <w:style w:type="character" w:customStyle="1" w:styleId="cf01">
    <w:name w:val="cf01"/>
    <w:basedOn w:val="Absatz-Standardschriftart"/>
    <w:rsid w:val="000C6FB2"/>
    <w:rPr>
      <w:rFonts w:ascii="Segoe UI" w:hAnsi="Segoe UI" w:cs="Segoe UI" w:hint="default"/>
      <w:sz w:val="18"/>
      <w:szCs w:val="18"/>
    </w:rPr>
  </w:style>
  <w:style w:type="character" w:styleId="NichtaufgelsteErwhnung">
    <w:name w:val="Unresolved Mention"/>
    <w:basedOn w:val="Absatz-Standardschriftart"/>
    <w:uiPriority w:val="99"/>
    <w:semiHidden/>
    <w:unhideWhenUsed/>
    <w:rsid w:val="00D05513"/>
    <w:rPr>
      <w:color w:val="605E5C"/>
      <w:shd w:val="clear" w:color="auto" w:fill="E1DFDD"/>
    </w:rPr>
  </w:style>
  <w:style w:type="character" w:styleId="BesuchterLink">
    <w:name w:val="FollowedHyperlink"/>
    <w:basedOn w:val="Absatz-Standardschriftart"/>
    <w:uiPriority w:val="99"/>
    <w:semiHidden/>
    <w:unhideWhenUsed/>
    <w:rsid w:val="00D05513"/>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9050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kirsten.ludwig@a1kommunikation.de" TargetMode="External"/><Relationship Id="rId18" Type="http://schemas.openxmlformats.org/officeDocument/2006/relationships/customXml" Target="../customXml/item1.xml"/><Relationship Id="rId3" Type="http://schemas.openxmlformats.org/officeDocument/2006/relationships/webSettings" Target="webSettings.xml"/><Relationship Id="rId21" Type="http://schemas.openxmlformats.org/officeDocument/2006/relationships/customXml" Target="../customXml/item4.xml"/><Relationship Id="rId7" Type="http://schemas.openxmlformats.org/officeDocument/2006/relationships/image" Target="media/image1.jpeg"/><Relationship Id="rId12" Type="http://schemas.openxmlformats.org/officeDocument/2006/relationships/hyperlink" Target="mailto:karcz.lenka@fronius.com"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hyperlink" Target="https://www.fronius.com/sk-sk/slovakia/zvaracia-technika/aktuality/tlac" TargetMode="External"/><Relationship Id="rId11" Type="http://schemas.openxmlformats.org/officeDocument/2006/relationships/image" Target="media/image5.jpeg"/><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4.jpeg"/><Relationship Id="rId19"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header" Target="header1.xm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#SK</TermName>
          <TermId xmlns="http://schemas.microsoft.com/office/infopath/2007/PartnerControls">5fe4d75c-d3a4-4080-9916-22de550760e6</TermId>
        </TermInfo>
      </Terms>
    </k62430406562456c9289cb18a9752f33>
    <title_TI_DE xmlns="dc0c2c3d-e9fc-4a0d-820b-87ab82e65f20">Schweißrauchabsaugung Exento</title_TI_DE>
    <title_TI_NO xmlns="dc0c2c3d-e9fc-4a0d-820b-87ab82e65f20">welding fume extraction</title_TI_NO>
    <Documenttype_PT xmlns="dc0c2c3d-e9fc-4a0d-820b-87ab82e65f20">Comunicado à imprensa</Documenttype_PT>
    <Documenttype_RU xmlns="dc0c2c3d-e9fc-4a0d-820b-87ab82e65f20">Пресс-релиз</Documenttype_RU>
    <title_TI_TR xmlns="dc0c2c3d-e9fc-4a0d-820b-87ab82e65f20">welding fume extraction</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welding fume extraction</title_TI_TH>
    <Licence_x0020_information xmlns="dc0c2c3d-e9fc-4a0d-820b-87ab82e65f20">(c) Fronius International</Licence_x0020_information>
    <title_TI_EA xmlns="dc0c2c3d-e9fc-4a0d-820b-87ab82e65f20">welding fume extraction</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welding fume extraction</title_TI_DA>
    <Documenttype_TR xmlns="dc0c2c3d-e9fc-4a0d-820b-87ab82e65f20">Basın bülteni</Documenttype_TR>
    <title_TI_PL xmlns="dc0c2c3d-e9fc-4a0d-820b-87ab82e65f20">welding fume extraction</title_TI_PL>
    <Documenttype_TH xmlns="dc0c2c3d-e9fc-4a0d-820b-87ab82e65f20">ข่าวประชาสัมพันธ์</Documenttype_TH>
    <title_TI_EL xmlns="dc0c2c3d-e9fc-4a0d-820b-87ab82e65f20">welding fume extraction</title_TI_EL>
    <Documenttype_EA xmlns="dc0c2c3d-e9fc-4a0d-820b-87ab82e65f20">Press Release</Documenttype_EA>
    <Web_x0020_Display_x0020_Title_x0020_ET xmlns="dc0c2c3d-e9fc-4a0d-820b-87ab82e65f20">welding fume extraction</Web_x0020_Display_x0020_Title_x0020_ET>
    <Resolution xmlns="dc0c2c3d-e9fc-4a0d-820b-87ab82e65f20" xsi:nil="true"/>
    <Division xmlns="dc0c2c3d-e9fc-4a0d-820b-87ab82e65f20">Perfect Welding</Division>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welding fume extraction</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welding fume extraction</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C-138897</FileMaster>
    <title_TI_NL xmlns="dc0c2c3d-e9fc-4a0d-820b-87ab82e65f20">welding fume extraction</title_TI_NL>
    <contentservId xmlns="53041210-5658-4a0d-8a74-f9413e00f15b">C-138904</contentservId>
    <title_TI_IT xmlns="dc0c2c3d-e9fc-4a0d-820b-87ab82e65f20">welding fume extraction</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welding fume extraction</title_TI_UA>
    <title_TI_JP xmlns="dc0c2c3d-e9fc-4a0d-820b-87ab82e65f20">welding fume extraction</title_TI_JP>
    <Documenttype_NL xmlns="dc0c2c3d-e9fc-4a0d-820b-87ab82e65f20">Persbericht</Documenttype_NL>
    <title_TI_RO xmlns="dc0c2c3d-e9fc-4a0d-820b-87ab82e65f20">welding fume extraction</title_TI_RO>
    <Documenttype_NB xmlns="dc0c2c3d-e9fc-4a0d-820b-87ab82e65f20">Presseinformasjon</Documenttype_NB>
    <title_ti_nb xmlns="dc0c2c3d-e9fc-4a0d-820b-87ab82e65f20" xsi:nil="true"/>
    <title_TI_ES xmlns="dc0c2c3d-e9fc-4a0d-820b-87ab82e65f20">welding fume extraction</title_TI_ES>
    <title_TI_JA xmlns="dc0c2c3d-e9fc-4a0d-820b-87ab82e65f20">welding fume extraction</title_TI_JA>
    <TaxCatchAll xmlns="92f60987-cbcc-4245-baaf-239af3bfd6e8">
      <Value>268</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welding fume extraction</title_TI_EN>
    <MRMKeyWords xmlns="dc0c2c3d-e9fc-4a0d-820b-87ab82e65f20">#Presseinformation#Schweißrauch#Schweissrauchabsaugung#Exento#Schweißrauchabsaugung#Press release#Welding fume#Welding fume extraction#Welding Fume Extraction#presseinformation#pressrelease#schweißrauch#exento#schweißrauchabsaugung#</MRMKeyWords>
    <title_ti_zh xmlns="dc0c2c3d-e9fc-4a0d-820b-87ab82e65f20">welding fume extraction</title_ti_zh>
    <MRMID xmlns="dc0c2c3d-e9fc-4a0d-820b-87ab82e65f20">M-193350</MRMID>
    <Documenttype_UK xmlns="dc0c2c3d-e9fc-4a0d-820b-87ab82e65f20">Прес-релізи</Documenttype_UK>
    <title_TI_SK xmlns="dc0c2c3d-e9fc-4a0d-820b-87ab82e65f20">welding fume extraction</title_TI_SK>
    <Documenttype_UA xmlns="dc0c2c3d-e9fc-4a0d-820b-87ab82e65f20">Прес-релізи</Documenttype_UA>
    <title_TI_HU xmlns="dc0c2c3d-e9fc-4a0d-820b-87ab82e65f20">welding fume extraction</title_TI_HU>
    <Country_x0020_Quick_x0020_Select xmlns="dc0c2c3d-e9fc-4a0d-820b-87ab82e65f20">Select...</Country_x0020_Quick_x0020_Select>
    <title_ti_uk xmlns="dc0c2c3d-e9fc-4a0d-820b-87ab82e65f20" xsi:nil="true"/>
    <title_TI_PT xmlns="dc0c2c3d-e9fc-4a0d-820b-87ab82e65f20">welding fume extraction</title_TI_PT>
    <title_ti_fi xmlns="dc0c2c3d-e9fc-4a0d-820b-87ab82e65f20">welding fume extraction</title_ti_fi>
    <Country xmlns="dc0c2c3d-e9fc-4a0d-820b-87ab82e65f20">
      <Value>36</Value>
    </Country>
    <fro_spid xmlns="dc0c2c3d-e9fc-4a0d-820b-87ab82e65f20">17829;SE</fro_spid>
    <title_TI_RU xmlns="dc0c2c3d-e9fc-4a0d-820b-87ab82e65f20">welding fume extraction</title_TI_RU>
    <Documenttype_JA xmlns="dc0c2c3d-e9fc-4a0d-820b-87ab82e65f20">ニュースリリース</Documenttype_JA>
    <Colour_x0020_space xmlns="dc0c2c3d-e9fc-4a0d-820b-87ab82e65f20" xsi:nil="true"/>
    <title_TI_CS xmlns="dc0c2c3d-e9fc-4a0d-820b-87ab82e65f20">welding fume extraction</title_TI_CS>
    <title_TI_AR xmlns="dc0c2c3d-e9fc-4a0d-820b-87ab82e65f20">welding fume extraction</title_TI_AR>
  </documentManagement>
</p:properties>
</file>

<file path=customXml/itemProps1.xml><?xml version="1.0" encoding="utf-8"?>
<ds:datastoreItem xmlns:ds="http://schemas.openxmlformats.org/officeDocument/2006/customXml" ds:itemID="{CDB469E3-BE44-4598-A2A6-C9EBD4755B02}"/>
</file>

<file path=customXml/itemProps2.xml><?xml version="1.0" encoding="utf-8"?>
<ds:datastoreItem xmlns:ds="http://schemas.openxmlformats.org/officeDocument/2006/customXml" ds:itemID="{0B332D71-B6F8-4A15-8144-CA71BF320B3C}"/>
</file>

<file path=customXml/itemProps3.xml><?xml version="1.0" encoding="utf-8"?>
<ds:datastoreItem xmlns:ds="http://schemas.openxmlformats.org/officeDocument/2006/customXml" ds:itemID="{84DEE7D6-CA59-4010-A4B5-02CAC80C6D2D}"/>
</file>

<file path=customXml/itemProps4.xml><?xml version="1.0" encoding="utf-8"?>
<ds:datastoreItem xmlns:ds="http://schemas.openxmlformats.org/officeDocument/2006/customXml" ds:itemID="{4AE509C6-DA9D-4E1A-80F0-2BA346E92AA8}"/>
</file>

<file path=customXml/itemProps5.xml><?xml version="1.0" encoding="utf-8"?>
<ds:datastoreItem xmlns:ds="http://schemas.openxmlformats.org/officeDocument/2006/customXml" ds:itemID="{E037EEAF-9BBE-4DDE-AA4C-037EFC2289B4}"/>
</file>

<file path=docProps/app.xml><?xml version="1.0" encoding="utf-8"?>
<Properties xmlns="http://schemas.openxmlformats.org/officeDocument/2006/extended-properties" xmlns:vt="http://schemas.openxmlformats.org/officeDocument/2006/docPropsVTypes">
  <Template>Normal.dotm</Template>
  <TotalTime>0</TotalTime>
  <Pages>4</Pages>
  <Words>1032</Words>
  <Characters>6502</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Fronius International GmbH</Company>
  <LinksUpToDate>false</LinksUpToDate>
  <CharactersWithSpaces>7519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PW_PR_Exento_SK</dc:title>
  <dc:creator>Aitzetmueller Christian</dc:creator>
  <cp:lastModifiedBy>Pointner Karin</cp:lastModifiedBy>
  <cp:revision>4</cp:revision>
  <cp:lastPrinted>2022-10-24T08:11:00Z</cp:lastPrinted>
  <dcterms:created xsi:type="dcterms:W3CDTF">2022-10-25T08:25:00Z</dcterms:created>
  <dcterms:modified xsi:type="dcterms:W3CDTF">2022-11-14T11:20:00Z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Language">
    <vt:lpwstr>268;##SK|5fe4d75c-d3a4-4080-9916-22de550760e6</vt:lpwstr>
  </property>
  <property fmtid="{D5CDD505-2E9C-101B-9397-08002B2CF9AE}" pid="10" name="FroConDoc_language">
    <vt:lpwstr>1;#DE|676160ea-61f7-4cef-8b4c-1724dec2206e</vt:lpwstr>
  </property>
</Properties>
</file>