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Communiqué de presse</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2C9BC7E5" w14:textId="77777777" w:rsidR="00762FDD" w:rsidRDefault="00762FDD" w:rsidP="00762FDD">
      <w:pPr>
        <w:pStyle w:val="HeadlineGreen"/>
        <w:jc w:val="both"/>
        <w:rPr>
          <w:color w:val="000000"/>
          <w:sz w:val="22"/>
          <w:szCs w:val="22"/>
          <w:u w:color="000000"/>
        </w:rPr>
      </w:pPr>
      <w:r>
        <w:rPr>
          <w:color w:val="000000"/>
          <w:sz w:val="22"/>
          <w:u w:color="000000"/>
        </w:rPr>
        <w:t>Aspiration efficace des fumées de soudage</w:t>
      </w:r>
    </w:p>
    <w:p w14:paraId="6F5076B4" w14:textId="77777777" w:rsidR="00762FDD" w:rsidRPr="00762FDD" w:rsidRDefault="00762FDD" w:rsidP="00762FDD">
      <w:pPr>
        <w:pStyle w:val="berschrift1"/>
        <w:jc w:val="both"/>
      </w:pPr>
      <w:r w:rsidRPr="00762FDD">
        <w:t xml:space="preserve">Fronius présente deux nouvelles installations d’aspiration puissantes et une torche de soudage aspirante ergonomique </w:t>
      </w:r>
    </w:p>
    <w:p w14:paraId="7CE6C169" w14:textId="77777777" w:rsidR="00762FDD" w:rsidRDefault="00762FDD" w:rsidP="00762FDD">
      <w:pPr>
        <w:rPr>
          <w:sz w:val="20"/>
          <w:szCs w:val="20"/>
        </w:rPr>
      </w:pPr>
    </w:p>
    <w:p w14:paraId="3B96DA3F" w14:textId="77777777" w:rsidR="00762FDD" w:rsidRDefault="00762FDD" w:rsidP="00762FDD">
      <w:pPr>
        <w:rPr>
          <w:sz w:val="20"/>
          <w:szCs w:val="20"/>
        </w:rPr>
      </w:pPr>
      <w:r>
        <w:rPr>
          <w:sz w:val="24"/>
        </w:rPr>
        <w:t xml:space="preserve">La plus grande protection possible contre les fumées de soudage ne se limite pas au respect de la norme. Les entreprises font preuve de responsabilité vis-à-vis de leurs soudeurs et de toute autre personne qui travaillent dans leur environnement immédiat. C’est pourquoi Fronius lance sur le marché la nouvelle torche de soudage aspirante </w:t>
      </w:r>
      <w:proofErr w:type="spellStart"/>
      <w:r>
        <w:rPr>
          <w:sz w:val="24"/>
        </w:rPr>
        <w:t>Exento</w:t>
      </w:r>
      <w:proofErr w:type="spellEnd"/>
      <w:r>
        <w:rPr>
          <w:sz w:val="24"/>
        </w:rPr>
        <w:t xml:space="preserve">, facile à utiliser, ainsi que deux installations d’aspiration </w:t>
      </w:r>
      <w:proofErr w:type="spellStart"/>
      <w:r>
        <w:rPr>
          <w:sz w:val="24"/>
        </w:rPr>
        <w:t>Exento</w:t>
      </w:r>
      <w:proofErr w:type="spellEnd"/>
      <w:r>
        <w:rPr>
          <w:sz w:val="24"/>
        </w:rPr>
        <w:t xml:space="preserve"> mobiles et puissantes, afin d’assurer une protection efficace contre les fumées de soudage. </w:t>
      </w:r>
      <w:r>
        <w:t xml:space="preserve"> </w:t>
      </w:r>
    </w:p>
    <w:p w14:paraId="253F7B87" w14:textId="77777777" w:rsidR="00762FDD" w:rsidRDefault="00762FDD" w:rsidP="00762FDD">
      <w:pPr>
        <w:rPr>
          <w:sz w:val="20"/>
          <w:szCs w:val="20"/>
        </w:rPr>
      </w:pPr>
      <w:r>
        <w:rPr>
          <w:sz w:val="20"/>
        </w:rPr>
        <w:t xml:space="preserve">Les nouvelles solutions d’aspiration sont, entre autres, le duo parfait composé de la torche de soudage aspirante </w:t>
      </w:r>
      <w:proofErr w:type="spellStart"/>
      <w:r>
        <w:rPr>
          <w:sz w:val="20"/>
        </w:rPr>
        <w:t>Exento</w:t>
      </w:r>
      <w:proofErr w:type="spellEnd"/>
      <w:r>
        <w:rPr>
          <w:sz w:val="20"/>
        </w:rPr>
        <w:t xml:space="preserve"> de forme ergonomique ainsi que de l’installation d’aspiration à vide secondaire </w:t>
      </w:r>
      <w:proofErr w:type="spellStart"/>
      <w:r>
        <w:rPr>
          <w:sz w:val="20"/>
        </w:rPr>
        <w:t>Exento</w:t>
      </w:r>
      <w:proofErr w:type="spellEnd"/>
      <w:r>
        <w:rPr>
          <w:sz w:val="20"/>
        </w:rPr>
        <w:t xml:space="preserve"> </w:t>
      </w:r>
      <w:proofErr w:type="spellStart"/>
      <w:r>
        <w:rPr>
          <w:sz w:val="20"/>
        </w:rPr>
        <w:t>HighVac</w:t>
      </w:r>
      <w:proofErr w:type="spellEnd"/>
      <w:r>
        <w:rPr>
          <w:sz w:val="20"/>
        </w:rPr>
        <w:t xml:space="preserve"> compacte et mobile. Ce duo démontre ses points forts lors du soudage MIG/MAG et aspire directement les fumées là où elles sont produites. Grâce à la qualité particulièrement élevée du filtre, l’installation mobile d’aspiration sous </w:t>
      </w:r>
      <w:proofErr w:type="gramStart"/>
      <w:r>
        <w:rPr>
          <w:sz w:val="20"/>
        </w:rPr>
        <w:t xml:space="preserve">vide  </w:t>
      </w:r>
      <w:proofErr w:type="spellStart"/>
      <w:r>
        <w:rPr>
          <w:sz w:val="20"/>
        </w:rPr>
        <w:t>Exento</w:t>
      </w:r>
      <w:proofErr w:type="spellEnd"/>
      <w:proofErr w:type="gramEnd"/>
      <w:r>
        <w:rPr>
          <w:sz w:val="20"/>
        </w:rPr>
        <w:t xml:space="preserve"> </w:t>
      </w:r>
      <w:proofErr w:type="spellStart"/>
      <w:r>
        <w:rPr>
          <w:sz w:val="20"/>
        </w:rPr>
        <w:t>HighVac</w:t>
      </w:r>
      <w:proofErr w:type="spellEnd"/>
      <w:r>
        <w:rPr>
          <w:sz w:val="20"/>
        </w:rPr>
        <w:t xml:space="preserve"> élimine plus de 99,9% des particules des fumées de soudage détectées.  </w:t>
      </w:r>
    </w:p>
    <w:p w14:paraId="0F72BF51" w14:textId="77777777" w:rsidR="00762FDD" w:rsidRDefault="00762FDD" w:rsidP="00762FDD">
      <w:pPr>
        <w:rPr>
          <w:sz w:val="20"/>
          <w:szCs w:val="20"/>
        </w:rPr>
      </w:pPr>
      <w:r>
        <w:rPr>
          <w:sz w:val="20"/>
        </w:rPr>
        <w:t xml:space="preserve">L’installation d’aspiration à vide primaire </w:t>
      </w:r>
      <w:proofErr w:type="spellStart"/>
      <w:r>
        <w:rPr>
          <w:sz w:val="20"/>
        </w:rPr>
        <w:t>Exento</w:t>
      </w:r>
      <w:proofErr w:type="spellEnd"/>
      <w:r>
        <w:rPr>
          <w:sz w:val="20"/>
        </w:rPr>
        <w:t xml:space="preserve"> </w:t>
      </w:r>
      <w:proofErr w:type="spellStart"/>
      <w:r>
        <w:rPr>
          <w:sz w:val="20"/>
        </w:rPr>
        <w:t>LowVac</w:t>
      </w:r>
      <w:proofErr w:type="spellEnd"/>
      <w:r>
        <w:rPr>
          <w:sz w:val="20"/>
        </w:rPr>
        <w:t xml:space="preserve">, quant à elle, convient à tous les modes opératoires de soudage tels que le soudage MIG/MAG, TIG et manuel à l’électrode enrobée et se distingue par la conception de sa hotte d’aspiration avec un flux optimisé. Ainsi, le bras d’aspiration capte de manière plus efficace les fumées par rapport aux installations traditionnelles. </w:t>
      </w:r>
    </w:p>
    <w:p w14:paraId="40222EAA" w14:textId="77777777" w:rsidR="00762FDD" w:rsidRDefault="00762FDD" w:rsidP="00762FDD">
      <w:pPr>
        <w:rPr>
          <w:u w:val="single"/>
        </w:rPr>
      </w:pPr>
      <w:r>
        <w:rPr>
          <w:u w:val="single"/>
        </w:rPr>
        <w:t>La torche de soudage aspirante - puissante, maniable et personnalisée</w:t>
      </w:r>
    </w:p>
    <w:p w14:paraId="7A64F7FC" w14:textId="77777777" w:rsidR="00762FDD" w:rsidRDefault="00762FDD" w:rsidP="00762FDD">
      <w:pPr>
        <w:rPr>
          <w:sz w:val="20"/>
          <w:szCs w:val="20"/>
        </w:rPr>
      </w:pPr>
      <w:r>
        <w:rPr>
          <w:sz w:val="20"/>
        </w:rPr>
        <w:t xml:space="preserve">Avec la nouvelle conception de la torche de soudage aspirante </w:t>
      </w:r>
      <w:proofErr w:type="spellStart"/>
      <w:r>
        <w:rPr>
          <w:sz w:val="20"/>
        </w:rPr>
        <w:t>Exento</w:t>
      </w:r>
      <w:proofErr w:type="spellEnd"/>
      <w:r>
        <w:rPr>
          <w:sz w:val="20"/>
        </w:rPr>
        <w:t xml:space="preserve">, conforme à la norme </w:t>
      </w:r>
      <w:proofErr w:type="gramStart"/>
      <w:r>
        <w:rPr>
          <w:sz w:val="20"/>
        </w:rPr>
        <w:t>EN  ISO</w:t>
      </w:r>
      <w:proofErr w:type="gramEnd"/>
      <w:r>
        <w:rPr>
          <w:sz w:val="20"/>
        </w:rPr>
        <w:t xml:space="preserve">  21904-1, les fumées de soudage sont aspirées avec précision avant qu’elles ne se répandent. Lors de sa conception, l’équipe de développement a accordé une attention particulière à l’ergonomie et à la facilité d’utilisation. Par exemple, la puissance d’aspiration peut désormais être réglée directement sur la poignée au moyen d’un clapet de dérivation, des inserts en caoutchouc assurent une prise en main antidérapante et l’éclairage LED de série s’avère très utile pour le soudage dans des zones sombres ou encore pour le contrôle de la qualité une fois le cordon effectué. Trois interfaces utilisateur différentes sont disponibles pour chaque type de soudage : de la gâchette de torche supérieure au </w:t>
      </w:r>
      <w:proofErr w:type="spellStart"/>
      <w:r>
        <w:rPr>
          <w:sz w:val="20"/>
        </w:rPr>
        <w:t>Jobmaster</w:t>
      </w:r>
      <w:proofErr w:type="spellEnd"/>
      <w:r>
        <w:rPr>
          <w:sz w:val="20"/>
        </w:rPr>
        <w:t xml:space="preserve"> en passant par la fonction Up/Down. L’articulation sphérique, à laquelle est reliée le faisceau, est gainée de cuir sur 1,3 mètre de long, ce qui offre une plus grande liberté de mouvement lors du soudage.  </w:t>
      </w:r>
    </w:p>
    <w:p w14:paraId="0E8A82A6" w14:textId="77777777" w:rsidR="00762FDD" w:rsidRDefault="00762FDD" w:rsidP="00762FDD">
      <w:pPr>
        <w:rPr>
          <w:u w:val="single"/>
        </w:rPr>
      </w:pPr>
      <w:proofErr w:type="spellStart"/>
      <w:r>
        <w:rPr>
          <w:u w:val="single"/>
        </w:rPr>
        <w:lastRenderedPageBreak/>
        <w:t>Exento</w:t>
      </w:r>
      <w:proofErr w:type="spellEnd"/>
      <w:r>
        <w:rPr>
          <w:u w:val="single"/>
        </w:rPr>
        <w:t xml:space="preserve"> </w:t>
      </w:r>
      <w:proofErr w:type="spellStart"/>
      <w:r>
        <w:rPr>
          <w:u w:val="single"/>
        </w:rPr>
        <w:t>HighVac</w:t>
      </w:r>
      <w:proofErr w:type="spellEnd"/>
      <w:r>
        <w:rPr>
          <w:u w:val="single"/>
        </w:rPr>
        <w:t xml:space="preserve"> - Aspiration mobile et compacte</w:t>
      </w:r>
    </w:p>
    <w:p w14:paraId="72C2D6C5" w14:textId="77777777" w:rsidR="00762FDD" w:rsidRDefault="00762FDD" w:rsidP="00762FDD">
      <w:pPr>
        <w:rPr>
          <w:sz w:val="20"/>
          <w:szCs w:val="20"/>
        </w:rPr>
      </w:pPr>
      <w:r>
        <w:rPr>
          <w:sz w:val="20"/>
        </w:rPr>
        <w:t xml:space="preserve">Associée à la torche de soudage aspirante, la nouvelle installation d’aspiration à vide secondaire </w:t>
      </w:r>
      <w:proofErr w:type="spellStart"/>
      <w:r>
        <w:rPr>
          <w:sz w:val="20"/>
        </w:rPr>
        <w:t>Exento</w:t>
      </w:r>
      <w:proofErr w:type="spellEnd"/>
      <w:r>
        <w:rPr>
          <w:sz w:val="20"/>
        </w:rPr>
        <w:t xml:space="preserve"> démontre sa puissance là où une performance durable est requise pour éliminer les fumées et les poussières. Avec une surface au sol de seulement 60 x 60 centimètres et un rayon d’utilisation de 360 degrés, </w:t>
      </w:r>
      <w:proofErr w:type="spellStart"/>
      <w:r>
        <w:rPr>
          <w:sz w:val="20"/>
        </w:rPr>
        <w:t>Exento</w:t>
      </w:r>
      <w:proofErr w:type="spellEnd"/>
      <w:r>
        <w:rPr>
          <w:sz w:val="20"/>
        </w:rPr>
        <w:t xml:space="preserve"> </w:t>
      </w:r>
      <w:proofErr w:type="spellStart"/>
      <w:r>
        <w:rPr>
          <w:sz w:val="20"/>
        </w:rPr>
        <w:t>HighVac</w:t>
      </w:r>
      <w:proofErr w:type="spellEnd"/>
      <w:r>
        <w:rPr>
          <w:sz w:val="20"/>
        </w:rPr>
        <w:t xml:space="preserve"> est un concentré de puissance flexible qui peut être utilisé partout. Le compresseur à canal latéral intégré permet une puissance d’aspiration allant jusqu’à </w:t>
      </w:r>
      <w:proofErr w:type="gramStart"/>
      <w:r>
        <w:rPr>
          <w:sz w:val="20"/>
        </w:rPr>
        <w:t>170  m</w:t>
      </w:r>
      <w:proofErr w:type="gramEnd"/>
      <w:r>
        <w:rPr>
          <w:sz w:val="20"/>
        </w:rPr>
        <w:t xml:space="preserve">³ par heure et la cartouche filtrante montée verticalement assure un nettoyage particulièrement efficace. Le confort d’utilisation a également été pris en compte, avec notamment le réglage progressif de la puissance d’aspiration ou encore la commande intuitive à un bouton. Ainsi, même avec des gants, le programme peut être sélectionné en un clin d’œil.   </w:t>
      </w:r>
    </w:p>
    <w:p w14:paraId="37B633CF" w14:textId="77777777" w:rsidR="00762FDD" w:rsidRDefault="00762FDD" w:rsidP="00762FDD">
      <w:pPr>
        <w:rPr>
          <w:sz w:val="20"/>
          <w:szCs w:val="20"/>
        </w:rPr>
      </w:pPr>
      <w:r>
        <w:rPr>
          <w:sz w:val="20"/>
        </w:rPr>
        <w:t xml:space="preserve">La nouvelle torche de soudage aspirante </w:t>
      </w:r>
      <w:proofErr w:type="spellStart"/>
      <w:r>
        <w:rPr>
          <w:sz w:val="20"/>
        </w:rPr>
        <w:t>Exento</w:t>
      </w:r>
      <w:proofErr w:type="spellEnd"/>
      <w:r>
        <w:rPr>
          <w:sz w:val="20"/>
        </w:rPr>
        <w:t xml:space="preserve"> et le système d’aspiration </w:t>
      </w:r>
      <w:proofErr w:type="spellStart"/>
      <w:r>
        <w:rPr>
          <w:sz w:val="20"/>
        </w:rPr>
        <w:t>Exento</w:t>
      </w:r>
      <w:proofErr w:type="spellEnd"/>
      <w:r>
        <w:rPr>
          <w:sz w:val="20"/>
        </w:rPr>
        <w:t xml:space="preserve"> </w:t>
      </w:r>
      <w:proofErr w:type="spellStart"/>
      <w:r>
        <w:rPr>
          <w:sz w:val="20"/>
        </w:rPr>
        <w:t>HighVac</w:t>
      </w:r>
      <w:proofErr w:type="spellEnd"/>
      <w:r>
        <w:rPr>
          <w:sz w:val="20"/>
        </w:rPr>
        <w:t xml:space="preserve"> sont parfaitement adaptés l’un à l’autre et donnent d’excellents résultats. De plus, le système d’aspiration à vide secondaire peut également être combiné avec d’autres torches de soudage aspirantes. </w:t>
      </w:r>
    </w:p>
    <w:p w14:paraId="63EE69EF" w14:textId="77777777" w:rsidR="00762FDD" w:rsidRDefault="00762FDD" w:rsidP="00762FDD">
      <w:pPr>
        <w:rPr>
          <w:u w:val="single"/>
        </w:rPr>
      </w:pPr>
      <w:proofErr w:type="spellStart"/>
      <w:r>
        <w:rPr>
          <w:u w:val="single"/>
        </w:rPr>
        <w:t>Exento</w:t>
      </w:r>
      <w:proofErr w:type="spellEnd"/>
      <w:r>
        <w:rPr>
          <w:u w:val="single"/>
        </w:rPr>
        <w:t xml:space="preserve"> </w:t>
      </w:r>
      <w:proofErr w:type="spellStart"/>
      <w:r>
        <w:rPr>
          <w:u w:val="single"/>
        </w:rPr>
        <w:t>LowVac</w:t>
      </w:r>
      <w:proofErr w:type="spellEnd"/>
      <w:r>
        <w:rPr>
          <w:u w:val="single"/>
        </w:rPr>
        <w:t xml:space="preserve"> - Une utilisation polyvalente</w:t>
      </w:r>
    </w:p>
    <w:p w14:paraId="4C62D894" w14:textId="77777777" w:rsidR="00762FDD" w:rsidRDefault="00762FDD" w:rsidP="00762FDD">
      <w:pPr>
        <w:rPr>
          <w:sz w:val="20"/>
          <w:szCs w:val="20"/>
        </w:rPr>
      </w:pPr>
      <w:r>
        <w:rPr>
          <w:sz w:val="20"/>
        </w:rPr>
        <w:t xml:space="preserve">Que ce soit lors du soudage manuel à l’électrode enrobée, MIG/MAG ou TIG, cette installation d’aspiration à vide primaire compacte et mobile convient à tous les modes opératoires de soudage courants. </w:t>
      </w:r>
      <w:proofErr w:type="spellStart"/>
      <w:r>
        <w:rPr>
          <w:sz w:val="20"/>
        </w:rPr>
        <w:t>Exento</w:t>
      </w:r>
      <w:proofErr w:type="spellEnd"/>
      <w:r>
        <w:rPr>
          <w:sz w:val="20"/>
        </w:rPr>
        <w:t xml:space="preserve"> </w:t>
      </w:r>
      <w:proofErr w:type="spellStart"/>
      <w:r>
        <w:rPr>
          <w:sz w:val="20"/>
        </w:rPr>
        <w:t>LowVac</w:t>
      </w:r>
      <w:proofErr w:type="spellEnd"/>
      <w:r>
        <w:rPr>
          <w:sz w:val="20"/>
        </w:rPr>
        <w:t xml:space="preserve"> peut être utilisé partout où il est impossible de recourir à une torche de soudage aspirante. Son point fort : la conception de la hotte d’aspiration à </w:t>
      </w:r>
      <w:proofErr w:type="spellStart"/>
      <w:r>
        <w:rPr>
          <w:sz w:val="20"/>
        </w:rPr>
        <w:t>fluxoptimisé</w:t>
      </w:r>
      <w:proofErr w:type="spellEnd"/>
      <w:r>
        <w:rPr>
          <w:sz w:val="20"/>
        </w:rPr>
        <w:t xml:space="preserve"> pivotant à 360degrés avec un clapet de fermeture, également disponible en option avec un éclairage LED. La surface de filtration standard de 25 m² du filtre à usage unique est tout aussi </w:t>
      </w:r>
      <w:proofErr w:type="gramStart"/>
      <w:r>
        <w:rPr>
          <w:sz w:val="20"/>
        </w:rPr>
        <w:t>remarquable  :</w:t>
      </w:r>
      <w:proofErr w:type="gramEnd"/>
      <w:r>
        <w:rPr>
          <w:sz w:val="20"/>
        </w:rPr>
        <w:t xml:space="preserve"> elle peut même être étendue à 42 m² si nécessaire. Grâce à sa construction robuste et stable, l’installation </w:t>
      </w:r>
      <w:proofErr w:type="spellStart"/>
      <w:r>
        <w:rPr>
          <w:sz w:val="20"/>
        </w:rPr>
        <w:t>Exento</w:t>
      </w:r>
      <w:proofErr w:type="spellEnd"/>
      <w:r>
        <w:rPr>
          <w:sz w:val="20"/>
        </w:rPr>
        <w:t xml:space="preserve"> </w:t>
      </w:r>
      <w:proofErr w:type="spellStart"/>
      <w:r>
        <w:rPr>
          <w:sz w:val="20"/>
        </w:rPr>
        <w:t>LowVac</w:t>
      </w:r>
      <w:proofErr w:type="spellEnd"/>
      <w:r>
        <w:rPr>
          <w:sz w:val="20"/>
        </w:rPr>
        <w:t xml:space="preserve"> est idéale pour les changements fréquents de poste de travail. Sa grande capacité ainsi qu’une durée de vie de filtre accrue, en font un outil économique. </w:t>
      </w:r>
    </w:p>
    <w:p w14:paraId="3B9850CE" w14:textId="071B8F0B" w:rsidR="00ED5042" w:rsidRDefault="00762FDD" w:rsidP="00762FDD">
      <w:pPr>
        <w:rPr>
          <w:sz w:val="20"/>
        </w:rPr>
      </w:pPr>
      <w:r>
        <w:rPr>
          <w:sz w:val="20"/>
        </w:rPr>
        <w:t xml:space="preserve">Avec les nouveautés </w:t>
      </w:r>
      <w:proofErr w:type="spellStart"/>
      <w:r>
        <w:rPr>
          <w:sz w:val="20"/>
        </w:rPr>
        <w:t>Exento</w:t>
      </w:r>
      <w:proofErr w:type="spellEnd"/>
      <w:r>
        <w:rPr>
          <w:sz w:val="20"/>
        </w:rPr>
        <w:t xml:space="preserve">, le spécialiste du soudage Fronius complète sa large gamme d’installations de sécurité et de protection de la santé. </w:t>
      </w:r>
      <w:r w:rsidR="00B801F9">
        <w:rPr>
          <w:sz w:val="20"/>
        </w:rPr>
        <w:t xml:space="preserve">Vous en apprendrez plus à ce sujet ici : </w:t>
      </w:r>
      <w:hyperlink r:id="rId6" w:history="1">
        <w:r w:rsidR="005B1199" w:rsidRPr="00106608">
          <w:rPr>
            <w:rStyle w:val="Hyperlink"/>
            <w:sz w:val="20"/>
          </w:rPr>
          <w:t>https://www.fronius.com/fr-fr/france/techniques-de-soudage/information-produit/exento/installations-d-aspiration-exento-highvac-lowvac?filter=4788</w:t>
        </w:r>
      </w:hyperlink>
    </w:p>
    <w:p w14:paraId="548F146A" w14:textId="7F613037" w:rsidR="005B1199" w:rsidRPr="005B1199" w:rsidRDefault="005B1199" w:rsidP="005B1199">
      <w:pPr>
        <w:rPr>
          <w:i/>
          <w:sz w:val="20"/>
          <w:szCs w:val="20"/>
        </w:rPr>
      </w:pPr>
      <w:r>
        <w:rPr>
          <w:i/>
          <w:sz w:val="20"/>
          <w:szCs w:val="20"/>
        </w:rPr>
        <w:br/>
        <w:t>5.087</w:t>
      </w:r>
      <w:r w:rsidRPr="005B1199">
        <w:rPr>
          <w:i/>
          <w:sz w:val="20"/>
          <w:szCs w:val="20"/>
        </w:rPr>
        <w:t xml:space="preserve"> caractères (espaces compris)</w:t>
      </w:r>
    </w:p>
    <w:p w14:paraId="100F12B5" w14:textId="330801BC" w:rsidR="005B1199" w:rsidRDefault="005B1199" w:rsidP="005B1199">
      <w:pPr>
        <w:rPr>
          <w:sz w:val="20"/>
          <w:szCs w:val="20"/>
        </w:rPr>
      </w:pPr>
      <w:r>
        <w:rPr>
          <w:rFonts w:cs="Arial"/>
          <w:sz w:val="20"/>
          <w:szCs w:val="20"/>
          <w:lang w:val="es-ES"/>
        </w:rPr>
        <w:br/>
      </w:r>
      <w:r w:rsidRPr="005B1199">
        <w:rPr>
          <w:rFonts w:cs="Arial"/>
          <w:sz w:val="20"/>
          <w:szCs w:val="20"/>
          <w:lang w:val="es-ES"/>
        </w:rPr>
        <w:t>Les photos peuvent être téléchargées en haute résolution via le lien suivant :</w:t>
      </w:r>
      <w:r w:rsidRPr="005B1199">
        <w:rPr>
          <w:rFonts w:cs="Arial"/>
          <w:sz w:val="20"/>
          <w:szCs w:val="20"/>
          <w:lang w:val="es-ES"/>
        </w:rPr>
        <w:br/>
      </w:r>
      <w:hyperlink r:id="rId7" w:history="1">
        <w:r w:rsidRPr="00106608">
          <w:rPr>
            <w:rStyle w:val="Hyperlink"/>
            <w:sz w:val="20"/>
            <w:szCs w:val="20"/>
          </w:rPr>
          <w:t>https://www.fronius.com/fr-fr/france/techniques-de-soudage/centre-d-info/presse</w:t>
        </w:r>
      </w:hyperlink>
    </w:p>
    <w:p w14:paraId="3EBAA335" w14:textId="77777777" w:rsidR="005B1199" w:rsidRPr="005B1199" w:rsidRDefault="005B1199" w:rsidP="005B1199">
      <w:pPr>
        <w:rPr>
          <w:sz w:val="20"/>
          <w:szCs w:val="20"/>
        </w:rPr>
      </w:pPr>
    </w:p>
    <w:p w14:paraId="4005ED08" w14:textId="77777777" w:rsidR="005B1199" w:rsidRDefault="005B1199">
      <w:pPr>
        <w:rPr>
          <w:sz w:val="20"/>
          <w:szCs w:val="20"/>
        </w:rPr>
      </w:pPr>
    </w:p>
    <w:p w14:paraId="26A651CD" w14:textId="77777777" w:rsidR="006626BC" w:rsidRDefault="006626BC"/>
    <w:p w14:paraId="30EE55E3" w14:textId="15141944" w:rsidR="004C3056" w:rsidRDefault="004C3056">
      <w:pPr>
        <w:pStyle w:val="berschrift4"/>
        <w:jc w:val="both"/>
        <w:rPr>
          <w:sz w:val="20"/>
          <w:szCs w:val="20"/>
          <w:u w:val="none"/>
        </w:rPr>
      </w:pPr>
    </w:p>
    <w:p w14:paraId="3F1A0325" w14:textId="48BAD28F" w:rsidR="006626BC" w:rsidRDefault="006626BC" w:rsidP="006626BC"/>
    <w:p w14:paraId="422CA1E6" w14:textId="1AEB6A12" w:rsidR="006626BC" w:rsidRDefault="006626BC" w:rsidP="006626BC"/>
    <w:p w14:paraId="5450EA43" w14:textId="77777777" w:rsidR="006626BC" w:rsidRPr="006626BC" w:rsidRDefault="006626BC" w:rsidP="006626BC"/>
    <w:p w14:paraId="54C0DAF4" w14:textId="1CF41351" w:rsidR="00ED5042" w:rsidRDefault="00B801F9">
      <w:pPr>
        <w:pStyle w:val="berschrift4"/>
        <w:jc w:val="both"/>
        <w:rPr>
          <w:sz w:val="20"/>
          <w:szCs w:val="20"/>
        </w:rPr>
      </w:pPr>
      <w:r>
        <w:rPr>
          <w:sz w:val="20"/>
        </w:rPr>
        <w:lastRenderedPageBreak/>
        <w:t>Photos – Aperçu</w:t>
      </w:r>
    </w:p>
    <w:p w14:paraId="5A95C95D" w14:textId="77777777" w:rsidR="004C3056" w:rsidRPr="004C3056" w:rsidRDefault="004C3056" w:rsidP="0018477B"/>
    <w:p w14:paraId="059CB49A" w14:textId="0CC3DFF9" w:rsidR="00ED5042" w:rsidRDefault="00B801F9">
      <w:pPr>
        <w:rPr>
          <w:sz w:val="18"/>
          <w:szCs w:val="18"/>
        </w:rPr>
      </w:pPr>
      <w:r>
        <w:rPr>
          <w:sz w:val="18"/>
        </w:rPr>
        <w:t>Les fumées de soudage peuvent entraîner de graves problèmes de santé à long terme. Des installations d’aspiration performantes comme l’</w:t>
      </w:r>
      <w:proofErr w:type="spellStart"/>
      <w:r>
        <w:rPr>
          <w:sz w:val="18"/>
        </w:rPr>
        <w:t>Exento</w:t>
      </w:r>
      <w:proofErr w:type="spellEnd"/>
      <w:r>
        <w:rPr>
          <w:sz w:val="18"/>
        </w:rPr>
        <w:t xml:space="preserve"> </w:t>
      </w:r>
      <w:proofErr w:type="spellStart"/>
      <w:r>
        <w:rPr>
          <w:sz w:val="18"/>
        </w:rPr>
        <w:t>HighVac</w:t>
      </w:r>
      <w:proofErr w:type="spellEnd"/>
      <w:r>
        <w:rPr>
          <w:sz w:val="18"/>
        </w:rPr>
        <w:t xml:space="preserve"> de Fronius protègent</w:t>
      </w:r>
      <w:r>
        <w:t xml:space="preserve"> </w:t>
      </w:r>
      <w:r>
        <w:rPr>
          <w:noProof/>
        </w:rPr>
        <w:drawing>
          <wp:anchor distT="57150" distB="57150" distL="57150" distR="57150" simplePos="0" relativeHeight="251662336" behindDoc="0" locked="0" layoutInCell="1" allowOverlap="1" wp14:anchorId="5828A098" wp14:editId="0F8F47FB">
            <wp:simplePos x="0" y="0"/>
            <wp:positionH relativeFrom="column">
              <wp:posOffset>-51435</wp:posOffset>
            </wp:positionH>
            <wp:positionV relativeFrom="line">
              <wp:posOffset>-215900</wp:posOffset>
            </wp:positionV>
            <wp:extent cx="2602230" cy="1734820"/>
            <wp:effectExtent l="0" t="0" r="0" b="0"/>
            <wp:wrapThrough wrapText="bothSides" distL="57150" distR="57150">
              <wp:wrapPolygon edited="1">
                <wp:start x="0" y="0"/>
                <wp:lineTo x="21600" y="0"/>
                <wp:lineTo x="21600" y="21600"/>
                <wp:lineTo x="0" y="21600"/>
                <wp:lineTo x="0" y="0"/>
              </wp:wrapPolygon>
            </wp:wrapThrough>
            <wp:docPr id="1073741827" name="officeArt object" descr="Graphique 3"/>
            <wp:cNvGraphicFramePr/>
            <a:graphic xmlns:a="http://schemas.openxmlformats.org/drawingml/2006/main">
              <a:graphicData uri="http://schemas.openxmlformats.org/drawingml/2006/picture">
                <pic:pic xmlns:pic="http://schemas.openxmlformats.org/drawingml/2006/picture">
                  <pic:nvPicPr>
                    <pic:cNvPr id="1073741827" name="Grafik 3" descr="Grafik 3"/>
                    <pic:cNvPicPr>
                      <a:picLocks noChangeAspect="1"/>
                    </pic:cNvPicPr>
                  </pic:nvPicPr>
                  <pic:blipFill>
                    <a:blip r:embed="rId8"/>
                    <a:stretch>
                      <a:fillRect/>
                    </a:stretch>
                  </pic:blipFill>
                  <pic:spPr>
                    <a:xfrm>
                      <a:off x="0" y="0"/>
                      <a:ext cx="2602230" cy="1734820"/>
                    </a:xfrm>
                    <a:prstGeom prst="rect">
                      <a:avLst/>
                    </a:prstGeom>
                    <a:ln w="12700" cap="flat">
                      <a:noFill/>
                      <a:miter lim="400000"/>
                    </a:ln>
                    <a:effectLst/>
                  </pic:spPr>
                </pic:pic>
              </a:graphicData>
            </a:graphic>
          </wp:anchor>
        </w:drawing>
      </w:r>
      <w:r>
        <w:rPr>
          <w:sz w:val="18"/>
        </w:rPr>
        <w:t xml:space="preserve">aussi bien les spécialistes du soudage que toute autre personne dans leur environnement. </w:t>
      </w:r>
    </w:p>
    <w:p w14:paraId="67C926B3" w14:textId="77777777" w:rsidR="00ED5042" w:rsidRDefault="00ED5042">
      <w:pPr>
        <w:rPr>
          <w:sz w:val="18"/>
          <w:szCs w:val="18"/>
        </w:rPr>
      </w:pPr>
    </w:p>
    <w:p w14:paraId="2ADE880E" w14:textId="77777777" w:rsidR="00ED5042" w:rsidRDefault="00ED5042">
      <w:pPr>
        <w:rPr>
          <w:sz w:val="18"/>
          <w:szCs w:val="18"/>
        </w:rPr>
      </w:pPr>
    </w:p>
    <w:p w14:paraId="3616518F" w14:textId="77777777" w:rsidR="00ED5042" w:rsidRDefault="00ED5042">
      <w:pPr>
        <w:rPr>
          <w:sz w:val="18"/>
          <w:szCs w:val="18"/>
        </w:rPr>
      </w:pPr>
    </w:p>
    <w:p w14:paraId="1143B7F0" w14:textId="77777777" w:rsidR="00ED5042" w:rsidRDefault="00B801F9">
      <w:pPr>
        <w:rPr>
          <w:sz w:val="18"/>
          <w:szCs w:val="18"/>
        </w:rPr>
      </w:pPr>
      <w:r>
        <w:rPr>
          <w:noProof/>
          <w:sz w:val="18"/>
        </w:rPr>
        <w:drawing>
          <wp:anchor distT="57150" distB="57150" distL="57150" distR="57150" simplePos="0" relativeHeight="251659264" behindDoc="0" locked="0" layoutInCell="1" allowOverlap="1" wp14:anchorId="55F2195F" wp14:editId="43C4382A">
            <wp:simplePos x="0" y="0"/>
            <wp:positionH relativeFrom="column">
              <wp:posOffset>-99694</wp:posOffset>
            </wp:positionH>
            <wp:positionV relativeFrom="line">
              <wp:posOffset>186689</wp:posOffset>
            </wp:positionV>
            <wp:extent cx="2189480" cy="2266950"/>
            <wp:effectExtent l="0" t="0" r="0" b="0"/>
            <wp:wrapThrough wrapText="bothSides" distL="57150" distR="57150">
              <wp:wrapPolygon edited="1">
                <wp:start x="0" y="0"/>
                <wp:lineTo x="0" y="21600"/>
                <wp:lineTo x="21601" y="21600"/>
                <wp:lineTo x="21601" y="0"/>
                <wp:lineTo x="0" y="0"/>
              </wp:wrapPolygon>
            </wp:wrapThrough>
            <wp:docPr id="1073741828" name="officeArt object" descr="Graphique 7"/>
            <wp:cNvGraphicFramePr/>
            <a:graphic xmlns:a="http://schemas.openxmlformats.org/drawingml/2006/main">
              <a:graphicData uri="http://schemas.openxmlformats.org/drawingml/2006/picture">
                <pic:pic xmlns:pic="http://schemas.openxmlformats.org/drawingml/2006/picture">
                  <pic:nvPicPr>
                    <pic:cNvPr id="1073741828" name="Grafik 7" descr="Grafik 7"/>
                    <pic:cNvPicPr>
                      <a:picLocks noChangeAspect="1"/>
                    </pic:cNvPicPr>
                  </pic:nvPicPr>
                  <pic:blipFill>
                    <a:blip r:embed="rId9"/>
                    <a:srcRect t="17268" b="5174"/>
                    <a:stretch>
                      <a:fillRect/>
                    </a:stretch>
                  </pic:blipFill>
                  <pic:spPr>
                    <a:xfrm>
                      <a:off x="0" y="0"/>
                      <a:ext cx="2189480" cy="2266950"/>
                    </a:xfrm>
                    <a:prstGeom prst="rect">
                      <a:avLst/>
                    </a:prstGeom>
                    <a:ln w="12700" cap="flat">
                      <a:noFill/>
                      <a:miter lim="400000"/>
                    </a:ln>
                    <a:effectLst/>
                  </pic:spPr>
                </pic:pic>
              </a:graphicData>
            </a:graphic>
          </wp:anchor>
        </w:drawing>
      </w:r>
    </w:p>
    <w:p w14:paraId="6DF4359F" w14:textId="77777777" w:rsidR="00ED5042" w:rsidRDefault="00B801F9">
      <w:pPr>
        <w:rPr>
          <w:sz w:val="18"/>
          <w:szCs w:val="18"/>
        </w:rPr>
      </w:pPr>
      <w:r>
        <w:rPr>
          <w:sz w:val="18"/>
        </w:rPr>
        <w:t xml:space="preserve">Un duo parfait tout en un : l’installation d’aspiration à vide secondaire </w:t>
      </w:r>
      <w:proofErr w:type="spellStart"/>
      <w:r>
        <w:rPr>
          <w:sz w:val="18"/>
        </w:rPr>
        <w:t>Exento</w:t>
      </w:r>
      <w:proofErr w:type="spellEnd"/>
      <w:r>
        <w:rPr>
          <w:sz w:val="18"/>
        </w:rPr>
        <w:t xml:space="preserve"> </w:t>
      </w:r>
      <w:proofErr w:type="spellStart"/>
      <w:r>
        <w:rPr>
          <w:sz w:val="18"/>
        </w:rPr>
        <w:t>HighVac</w:t>
      </w:r>
      <w:proofErr w:type="spellEnd"/>
      <w:r>
        <w:rPr>
          <w:sz w:val="18"/>
        </w:rPr>
        <w:t xml:space="preserve"> et la torche de soudage aspirante ergonomique </w:t>
      </w:r>
      <w:proofErr w:type="spellStart"/>
      <w:r>
        <w:rPr>
          <w:sz w:val="18"/>
        </w:rPr>
        <w:t>Exento</w:t>
      </w:r>
      <w:proofErr w:type="spellEnd"/>
      <w:r>
        <w:rPr>
          <w:sz w:val="18"/>
        </w:rPr>
        <w:t xml:space="preserve">. </w:t>
      </w:r>
    </w:p>
    <w:p w14:paraId="4CBA00E2" w14:textId="77777777" w:rsidR="00ED5042" w:rsidRDefault="00ED5042">
      <w:pPr>
        <w:rPr>
          <w:sz w:val="18"/>
          <w:szCs w:val="18"/>
        </w:rPr>
      </w:pPr>
    </w:p>
    <w:p w14:paraId="16C0BC24" w14:textId="77777777" w:rsidR="00ED5042" w:rsidRDefault="00ED5042">
      <w:pPr>
        <w:rPr>
          <w:sz w:val="18"/>
          <w:szCs w:val="18"/>
        </w:rPr>
      </w:pPr>
    </w:p>
    <w:p w14:paraId="7AFE62FA" w14:textId="77777777" w:rsidR="00ED5042" w:rsidRDefault="00ED5042">
      <w:pPr>
        <w:rPr>
          <w:sz w:val="18"/>
          <w:szCs w:val="18"/>
        </w:rPr>
      </w:pPr>
    </w:p>
    <w:p w14:paraId="0C280FFA" w14:textId="77777777" w:rsidR="00ED5042" w:rsidRDefault="00ED5042">
      <w:pPr>
        <w:rPr>
          <w:sz w:val="18"/>
          <w:szCs w:val="18"/>
        </w:rPr>
      </w:pPr>
    </w:p>
    <w:p w14:paraId="77F9A6BC" w14:textId="77777777" w:rsidR="00ED5042" w:rsidRDefault="00ED5042">
      <w:pPr>
        <w:rPr>
          <w:sz w:val="18"/>
          <w:szCs w:val="18"/>
        </w:rPr>
      </w:pPr>
    </w:p>
    <w:p w14:paraId="3F7E6DFD" w14:textId="77777777" w:rsidR="00ED5042" w:rsidRDefault="00ED5042">
      <w:pPr>
        <w:rPr>
          <w:sz w:val="18"/>
          <w:szCs w:val="18"/>
        </w:rPr>
      </w:pPr>
    </w:p>
    <w:p w14:paraId="704E47C4" w14:textId="77777777" w:rsidR="00ED5042" w:rsidRDefault="00B801F9">
      <w:pPr>
        <w:jc w:val="both"/>
        <w:rPr>
          <w:sz w:val="20"/>
          <w:szCs w:val="20"/>
        </w:rPr>
      </w:pPr>
      <w:r>
        <w:rPr>
          <w:noProof/>
        </w:rPr>
        <w:drawing>
          <wp:anchor distT="57150" distB="57150" distL="57150" distR="57150" simplePos="0" relativeHeight="251660288" behindDoc="0" locked="0" layoutInCell="1" allowOverlap="1" wp14:anchorId="59AB7740" wp14:editId="220AC3D8">
            <wp:simplePos x="0" y="0"/>
            <wp:positionH relativeFrom="column">
              <wp:posOffset>-99694</wp:posOffset>
            </wp:positionH>
            <wp:positionV relativeFrom="line">
              <wp:posOffset>123825</wp:posOffset>
            </wp:positionV>
            <wp:extent cx="2167200" cy="1782000"/>
            <wp:effectExtent l="0" t="0" r="0" b="0"/>
            <wp:wrapThrough wrapText="bothSides" distL="57150" distR="57150">
              <wp:wrapPolygon edited="1">
                <wp:start x="0" y="0"/>
                <wp:lineTo x="21600" y="0"/>
                <wp:lineTo x="21600" y="21600"/>
                <wp:lineTo x="0" y="21600"/>
                <wp:lineTo x="0" y="0"/>
              </wp:wrapPolygon>
            </wp:wrapThrough>
            <wp:docPr id="1073741829" name="officeArt object" descr="Graphique 4"/>
            <wp:cNvGraphicFramePr/>
            <a:graphic xmlns:a="http://schemas.openxmlformats.org/drawingml/2006/main">
              <a:graphicData uri="http://schemas.openxmlformats.org/drawingml/2006/picture">
                <pic:pic xmlns:pic="http://schemas.openxmlformats.org/drawingml/2006/picture">
                  <pic:nvPicPr>
                    <pic:cNvPr id="1073741829" name="Grafik 4" descr="Grafik 4"/>
                    <pic:cNvPicPr>
                      <a:picLocks noChangeAspect="1"/>
                    </pic:cNvPicPr>
                  </pic:nvPicPr>
                  <pic:blipFill>
                    <a:blip r:embed="rId10"/>
                    <a:stretch>
                      <a:fillRect/>
                    </a:stretch>
                  </pic:blipFill>
                  <pic:spPr>
                    <a:xfrm>
                      <a:off x="0" y="0"/>
                      <a:ext cx="2167200" cy="1782000"/>
                    </a:xfrm>
                    <a:prstGeom prst="rect">
                      <a:avLst/>
                    </a:prstGeom>
                    <a:ln w="12700" cap="flat">
                      <a:noFill/>
                      <a:miter lim="400000"/>
                    </a:ln>
                    <a:effectLst/>
                  </pic:spPr>
                </pic:pic>
              </a:graphicData>
            </a:graphic>
          </wp:anchor>
        </w:drawing>
      </w:r>
    </w:p>
    <w:p w14:paraId="062427A3" w14:textId="0E33C327" w:rsidR="00ED5042" w:rsidRDefault="00B801F9">
      <w:pPr>
        <w:rPr>
          <w:sz w:val="18"/>
          <w:szCs w:val="18"/>
        </w:rPr>
      </w:pPr>
      <w:r>
        <w:rPr>
          <w:sz w:val="18"/>
        </w:rPr>
        <w:t xml:space="preserve">Ergonomique, la torche de soudage aspirante </w:t>
      </w:r>
      <w:proofErr w:type="spellStart"/>
      <w:r>
        <w:rPr>
          <w:sz w:val="18"/>
        </w:rPr>
        <w:t>Exento</w:t>
      </w:r>
      <w:proofErr w:type="spellEnd"/>
      <w:r>
        <w:rPr>
          <w:sz w:val="18"/>
        </w:rPr>
        <w:t xml:space="preserve"> tient bien dans la main et permet, grâce à la soupape de dérivation, de régler la puissance d’aspiration au niveau de la poignée. Elle est disponible, selon les besoins, avec les interfaces utilisateur </w:t>
      </w:r>
      <w:proofErr w:type="spellStart"/>
      <w:r>
        <w:rPr>
          <w:sz w:val="18"/>
        </w:rPr>
        <w:t>Jobmaster</w:t>
      </w:r>
      <w:proofErr w:type="spellEnd"/>
      <w:r>
        <w:rPr>
          <w:sz w:val="18"/>
        </w:rPr>
        <w:t xml:space="preserve">, fonction Up/Down et gâchette supérieure de torche. </w:t>
      </w:r>
    </w:p>
    <w:p w14:paraId="16F91252" w14:textId="77777777" w:rsidR="00ED5042" w:rsidRDefault="00ED5042">
      <w:pPr>
        <w:rPr>
          <w:sz w:val="18"/>
          <w:szCs w:val="18"/>
        </w:rPr>
      </w:pPr>
    </w:p>
    <w:p w14:paraId="6C408BE8" w14:textId="77777777" w:rsidR="00ED5042" w:rsidRDefault="00ED5042">
      <w:pPr>
        <w:rPr>
          <w:sz w:val="18"/>
          <w:szCs w:val="18"/>
        </w:rPr>
      </w:pPr>
    </w:p>
    <w:p w14:paraId="0344455C" w14:textId="77777777" w:rsidR="00ED5042" w:rsidRDefault="00ED5042">
      <w:pPr>
        <w:rPr>
          <w:sz w:val="18"/>
          <w:szCs w:val="18"/>
        </w:rPr>
      </w:pPr>
    </w:p>
    <w:p w14:paraId="6D259A7C" w14:textId="77777777" w:rsidR="00ED5042" w:rsidRDefault="00B801F9">
      <w:pPr>
        <w:rPr>
          <w:sz w:val="18"/>
          <w:szCs w:val="18"/>
        </w:rPr>
      </w:pPr>
      <w:r>
        <w:rPr>
          <w:noProof/>
        </w:rPr>
        <w:drawing>
          <wp:anchor distT="57150" distB="57150" distL="57150" distR="57150" simplePos="0" relativeHeight="251661312" behindDoc="0" locked="0" layoutInCell="1" allowOverlap="1" wp14:anchorId="1207F709" wp14:editId="569CC546">
            <wp:simplePos x="0" y="0"/>
            <wp:positionH relativeFrom="column">
              <wp:posOffset>-4444</wp:posOffset>
            </wp:positionH>
            <wp:positionV relativeFrom="line">
              <wp:posOffset>270509</wp:posOffset>
            </wp:positionV>
            <wp:extent cx="2862580" cy="1905000"/>
            <wp:effectExtent l="0" t="0" r="0" b="0"/>
            <wp:wrapThrough wrapText="bothSides" distL="57150" distR="57150">
              <wp:wrapPolygon edited="1">
                <wp:start x="0" y="0"/>
                <wp:lineTo x="21600" y="0"/>
                <wp:lineTo x="21600" y="21600"/>
                <wp:lineTo x="0" y="21600"/>
                <wp:lineTo x="0" y="0"/>
              </wp:wrapPolygon>
            </wp:wrapThrough>
            <wp:docPr id="1073741830" name="officeArt object" descr="Graphique 2"/>
            <wp:cNvGraphicFramePr/>
            <a:graphic xmlns:a="http://schemas.openxmlformats.org/drawingml/2006/main">
              <a:graphicData uri="http://schemas.openxmlformats.org/drawingml/2006/picture">
                <pic:pic xmlns:pic="http://schemas.openxmlformats.org/drawingml/2006/picture">
                  <pic:nvPicPr>
                    <pic:cNvPr id="1073741830" name="Grafik 2" descr="Grafik 2"/>
                    <pic:cNvPicPr>
                      <a:picLocks noChangeAspect="1"/>
                    </pic:cNvPicPr>
                  </pic:nvPicPr>
                  <pic:blipFill>
                    <a:blip r:embed="rId11"/>
                    <a:stretch>
                      <a:fillRect/>
                    </a:stretch>
                  </pic:blipFill>
                  <pic:spPr>
                    <a:xfrm>
                      <a:off x="0" y="0"/>
                      <a:ext cx="2862580" cy="1905000"/>
                    </a:xfrm>
                    <a:prstGeom prst="rect">
                      <a:avLst/>
                    </a:prstGeom>
                    <a:ln w="12700" cap="flat">
                      <a:noFill/>
                      <a:miter lim="400000"/>
                    </a:ln>
                    <a:effectLst/>
                  </pic:spPr>
                </pic:pic>
              </a:graphicData>
            </a:graphic>
          </wp:anchor>
        </w:drawing>
      </w:r>
    </w:p>
    <w:p w14:paraId="56A46C80" w14:textId="7DB38A1F" w:rsidR="00ED5042" w:rsidRDefault="00B801F9">
      <w:pPr>
        <w:rPr>
          <w:sz w:val="18"/>
          <w:szCs w:val="18"/>
        </w:rPr>
      </w:pPr>
      <w:r>
        <w:rPr>
          <w:sz w:val="18"/>
        </w:rPr>
        <w:t xml:space="preserve">La puissante installation d’aspiration </w:t>
      </w:r>
      <w:proofErr w:type="spellStart"/>
      <w:r>
        <w:rPr>
          <w:sz w:val="18"/>
        </w:rPr>
        <w:t>Exento</w:t>
      </w:r>
      <w:proofErr w:type="spellEnd"/>
      <w:r>
        <w:rPr>
          <w:sz w:val="18"/>
        </w:rPr>
        <w:t xml:space="preserve"> </w:t>
      </w:r>
      <w:proofErr w:type="spellStart"/>
      <w:r>
        <w:rPr>
          <w:sz w:val="18"/>
        </w:rPr>
        <w:t>LowVac</w:t>
      </w:r>
      <w:proofErr w:type="spellEnd"/>
      <w:r>
        <w:rPr>
          <w:sz w:val="18"/>
        </w:rPr>
        <w:t xml:space="preserve"> avec son bras d’aspiration flexible se distingue par son degré de filtration sur une grande surface. </w:t>
      </w:r>
    </w:p>
    <w:p w14:paraId="38E0AB53" w14:textId="77777777" w:rsidR="00ED5042" w:rsidRDefault="00ED5042">
      <w:pPr>
        <w:rPr>
          <w:sz w:val="18"/>
          <w:szCs w:val="18"/>
        </w:rPr>
      </w:pPr>
    </w:p>
    <w:p w14:paraId="1E196DCA" w14:textId="77777777" w:rsidR="00ED5042" w:rsidRDefault="00ED5042">
      <w:pPr>
        <w:rPr>
          <w:sz w:val="18"/>
          <w:szCs w:val="18"/>
        </w:rPr>
      </w:pPr>
    </w:p>
    <w:p w14:paraId="5095A1AB" w14:textId="77777777" w:rsidR="00ED5042" w:rsidRDefault="00ED5042">
      <w:pPr>
        <w:rPr>
          <w:sz w:val="18"/>
          <w:szCs w:val="18"/>
        </w:rPr>
      </w:pPr>
    </w:p>
    <w:p w14:paraId="1767FB4F" w14:textId="77777777" w:rsidR="00ED5042" w:rsidRDefault="00ED5042">
      <w:pPr>
        <w:jc w:val="both"/>
        <w:rPr>
          <w:sz w:val="18"/>
          <w:szCs w:val="18"/>
        </w:rPr>
      </w:pPr>
    </w:p>
    <w:p w14:paraId="0B20C58B" w14:textId="77777777" w:rsidR="00ED5042" w:rsidRDefault="00ED5042">
      <w:pPr>
        <w:jc w:val="both"/>
        <w:rPr>
          <w:sz w:val="18"/>
          <w:szCs w:val="18"/>
        </w:rPr>
      </w:pPr>
    </w:p>
    <w:p w14:paraId="03470FAF" w14:textId="77777777" w:rsidR="00ED5042" w:rsidRDefault="00B801F9">
      <w:pPr>
        <w:rPr>
          <w:sz w:val="18"/>
          <w:szCs w:val="18"/>
        </w:rPr>
      </w:pPr>
      <w:r>
        <w:rPr>
          <w:noProof/>
        </w:rPr>
        <w:lastRenderedPageBreak/>
        <w:drawing>
          <wp:anchor distT="57150" distB="57150" distL="57150" distR="57150" simplePos="0" relativeHeight="251663360" behindDoc="0" locked="0" layoutInCell="1" allowOverlap="1" wp14:anchorId="5748E053" wp14:editId="21D2BE73">
            <wp:simplePos x="0" y="0"/>
            <wp:positionH relativeFrom="column">
              <wp:posOffset>-4444</wp:posOffset>
            </wp:positionH>
            <wp:positionV relativeFrom="line">
              <wp:posOffset>3810</wp:posOffset>
            </wp:positionV>
            <wp:extent cx="2876401" cy="1929601"/>
            <wp:effectExtent l="0" t="0" r="0" b="0"/>
            <wp:wrapThrough wrapText="bothSides" distL="57150" distR="57150">
              <wp:wrapPolygon edited="1">
                <wp:start x="0" y="0"/>
                <wp:lineTo x="21600" y="0"/>
                <wp:lineTo x="21600" y="21600"/>
                <wp:lineTo x="0" y="21600"/>
                <wp:lineTo x="0" y="0"/>
              </wp:wrapPolygon>
            </wp:wrapThrough>
            <wp:docPr id="1073741831" name="officeArt object" descr="Graphique 5"/>
            <wp:cNvGraphicFramePr/>
            <a:graphic xmlns:a="http://schemas.openxmlformats.org/drawingml/2006/main">
              <a:graphicData uri="http://schemas.openxmlformats.org/drawingml/2006/picture">
                <pic:pic xmlns:pic="http://schemas.openxmlformats.org/drawingml/2006/picture">
                  <pic:nvPicPr>
                    <pic:cNvPr id="1073741831" name="Grafik 5" descr="Grafik 5"/>
                    <pic:cNvPicPr>
                      <a:picLocks noChangeAspect="1"/>
                    </pic:cNvPicPr>
                  </pic:nvPicPr>
                  <pic:blipFill>
                    <a:blip r:embed="rId12"/>
                    <a:stretch>
                      <a:fillRect/>
                    </a:stretch>
                  </pic:blipFill>
                  <pic:spPr>
                    <a:xfrm>
                      <a:off x="0" y="0"/>
                      <a:ext cx="2876401" cy="1929601"/>
                    </a:xfrm>
                    <a:prstGeom prst="rect">
                      <a:avLst/>
                    </a:prstGeom>
                    <a:ln w="12700" cap="flat">
                      <a:noFill/>
                      <a:miter lim="400000"/>
                    </a:ln>
                    <a:effectLst/>
                  </pic:spPr>
                </pic:pic>
              </a:graphicData>
            </a:graphic>
          </wp:anchor>
        </w:drawing>
      </w:r>
      <w:r>
        <w:rPr>
          <w:sz w:val="18"/>
        </w:rPr>
        <w:t>Le filtre de l’</w:t>
      </w:r>
      <w:proofErr w:type="spellStart"/>
      <w:r>
        <w:rPr>
          <w:sz w:val="18"/>
        </w:rPr>
        <w:t>Exento</w:t>
      </w:r>
      <w:proofErr w:type="spellEnd"/>
      <w:r>
        <w:rPr>
          <w:sz w:val="18"/>
        </w:rPr>
        <w:t xml:space="preserve"> </w:t>
      </w:r>
      <w:proofErr w:type="spellStart"/>
      <w:r>
        <w:rPr>
          <w:sz w:val="18"/>
        </w:rPr>
        <w:t>LowVac</w:t>
      </w:r>
      <w:proofErr w:type="spellEnd"/>
      <w:r>
        <w:rPr>
          <w:sz w:val="18"/>
        </w:rPr>
        <w:t xml:space="preserve"> a une capacité particulièrement grande et offre également une sécurité accrue au personnel de soudage lors du remplacement sans contamination. </w:t>
      </w:r>
    </w:p>
    <w:p w14:paraId="58316A2A" w14:textId="77777777" w:rsidR="00ED5042" w:rsidRDefault="00ED5042">
      <w:pPr>
        <w:jc w:val="both"/>
        <w:rPr>
          <w:sz w:val="18"/>
          <w:szCs w:val="18"/>
        </w:rPr>
      </w:pPr>
    </w:p>
    <w:p w14:paraId="7AC2B2EF" w14:textId="77777777" w:rsidR="00ED5042" w:rsidRDefault="00ED5042">
      <w:pPr>
        <w:jc w:val="both"/>
        <w:rPr>
          <w:sz w:val="18"/>
          <w:szCs w:val="18"/>
        </w:rPr>
      </w:pPr>
    </w:p>
    <w:p w14:paraId="1A577E53" w14:textId="77777777" w:rsidR="00ED5042" w:rsidRDefault="00ED5042">
      <w:pPr>
        <w:jc w:val="both"/>
        <w:rPr>
          <w:sz w:val="18"/>
          <w:szCs w:val="18"/>
        </w:rPr>
      </w:pPr>
    </w:p>
    <w:p w14:paraId="2996079A" w14:textId="77777777" w:rsidR="00ED5042" w:rsidRDefault="00ED5042">
      <w:pPr>
        <w:jc w:val="both"/>
        <w:rPr>
          <w:sz w:val="18"/>
          <w:szCs w:val="18"/>
        </w:rPr>
      </w:pPr>
    </w:p>
    <w:p w14:paraId="7BAE636D" w14:textId="77777777" w:rsidR="00ED5042" w:rsidRDefault="00ED5042">
      <w:pPr>
        <w:jc w:val="both"/>
        <w:rPr>
          <w:sz w:val="18"/>
          <w:szCs w:val="18"/>
        </w:rPr>
      </w:pPr>
    </w:p>
    <w:p w14:paraId="6C294D8C" w14:textId="287F2366" w:rsidR="00ED5042" w:rsidRDefault="00B801F9">
      <w:pPr>
        <w:jc w:val="both"/>
        <w:rPr>
          <w:i/>
          <w:sz w:val="18"/>
        </w:rPr>
      </w:pPr>
      <w:r>
        <w:rPr>
          <w:i/>
          <w:sz w:val="18"/>
        </w:rPr>
        <w:t>Crédit photo : Fronius International </w:t>
      </w:r>
      <w:proofErr w:type="spellStart"/>
      <w:r>
        <w:rPr>
          <w:i/>
          <w:sz w:val="18"/>
        </w:rPr>
        <w:t>GmbH</w:t>
      </w:r>
      <w:proofErr w:type="spellEnd"/>
      <w:r>
        <w:rPr>
          <w:i/>
          <w:sz w:val="18"/>
        </w:rPr>
        <w:t>, publication libre de droits</w:t>
      </w:r>
    </w:p>
    <w:p w14:paraId="307DCCA2" w14:textId="65202EC1" w:rsidR="005B1199" w:rsidRDefault="005B1199">
      <w:pPr>
        <w:jc w:val="both"/>
        <w:rPr>
          <w:i/>
          <w:sz w:val="18"/>
        </w:rPr>
      </w:pPr>
    </w:p>
    <w:p w14:paraId="26D8F12F" w14:textId="77777777" w:rsidR="005B1199" w:rsidRPr="005B1199" w:rsidRDefault="005B1199" w:rsidP="005B1199">
      <w:pPr>
        <w:pStyle w:val="berschrift4"/>
        <w:jc w:val="both"/>
        <w:rPr>
          <w:sz w:val="20"/>
          <w:szCs w:val="20"/>
          <w:lang w:val="en-US"/>
        </w:rPr>
      </w:pPr>
      <w:r w:rsidRPr="005B1199">
        <w:rPr>
          <w:sz w:val="20"/>
          <w:szCs w:val="20"/>
          <w:lang w:val="en-US"/>
        </w:rPr>
        <w:t>Business Unit Perfect Welding</w:t>
      </w:r>
    </w:p>
    <w:p w14:paraId="6BA96D57" w14:textId="77777777" w:rsidR="005B1199" w:rsidRPr="005B1199" w:rsidRDefault="005B1199" w:rsidP="005B1199">
      <w:pPr>
        <w:rPr>
          <w:rFonts w:cs="Arial"/>
          <w:sz w:val="20"/>
          <w:szCs w:val="20"/>
          <w:lang w:val="en-US"/>
        </w:rPr>
      </w:pPr>
      <w:r w:rsidRPr="005B1199">
        <w:rPr>
          <w:rFonts w:cs="Arial"/>
          <w:sz w:val="20"/>
          <w:szCs w:val="20"/>
          <w:lang w:val="en-US"/>
        </w:rPr>
        <w:t xml:space="preserve">Fronius Perfect Welding </w:t>
      </w:r>
      <w:proofErr w:type="spellStart"/>
      <w:r w:rsidRPr="005B1199">
        <w:rPr>
          <w:rFonts w:cs="Arial"/>
          <w:sz w:val="20"/>
          <w:szCs w:val="20"/>
          <w:lang w:val="en-US"/>
        </w:rPr>
        <w:t>est</w:t>
      </w:r>
      <w:proofErr w:type="spellEnd"/>
      <w:r w:rsidRPr="005B1199">
        <w:rPr>
          <w:rFonts w:cs="Arial"/>
          <w:sz w:val="20"/>
          <w:szCs w:val="20"/>
          <w:lang w:val="en-US"/>
        </w:rPr>
        <w:t xml:space="preserve"> leader de </w:t>
      </w:r>
      <w:proofErr w:type="spellStart"/>
      <w:r w:rsidRPr="005B1199">
        <w:rPr>
          <w:rFonts w:cs="Arial"/>
          <w:sz w:val="20"/>
          <w:szCs w:val="20"/>
          <w:lang w:val="en-US"/>
        </w:rPr>
        <w:t>l’innovation</w:t>
      </w:r>
      <w:proofErr w:type="spellEnd"/>
      <w:r w:rsidRPr="005B1199">
        <w:rPr>
          <w:rFonts w:cs="Arial"/>
          <w:sz w:val="20"/>
          <w:szCs w:val="20"/>
          <w:lang w:val="en-US"/>
        </w:rPr>
        <w:t xml:space="preserve"> </w:t>
      </w:r>
      <w:proofErr w:type="spellStart"/>
      <w:r w:rsidRPr="005B1199">
        <w:rPr>
          <w:rFonts w:cs="Arial"/>
          <w:sz w:val="20"/>
          <w:szCs w:val="20"/>
          <w:lang w:val="en-US"/>
        </w:rPr>
        <w:t>en</w:t>
      </w:r>
      <w:proofErr w:type="spellEnd"/>
      <w:r w:rsidRPr="005B1199">
        <w:rPr>
          <w:rFonts w:cs="Arial"/>
          <w:sz w:val="20"/>
          <w:szCs w:val="20"/>
          <w:lang w:val="en-US"/>
        </w:rPr>
        <w:t xml:space="preserve"> matière de </w:t>
      </w:r>
      <w:proofErr w:type="spellStart"/>
      <w:r w:rsidRPr="005B1199">
        <w:rPr>
          <w:rFonts w:cs="Arial"/>
          <w:sz w:val="20"/>
          <w:szCs w:val="20"/>
          <w:lang w:val="en-US"/>
        </w:rPr>
        <w:t>soudage</w:t>
      </w:r>
      <w:proofErr w:type="spellEnd"/>
      <w:r w:rsidRPr="005B1199">
        <w:rPr>
          <w:rFonts w:cs="Arial"/>
          <w:sz w:val="20"/>
          <w:szCs w:val="20"/>
          <w:lang w:val="en-US"/>
        </w:rPr>
        <w:t xml:space="preserve"> à </w:t>
      </w:r>
      <w:proofErr w:type="spellStart"/>
      <w:r w:rsidRPr="005B1199">
        <w:rPr>
          <w:rFonts w:cs="Arial"/>
          <w:sz w:val="20"/>
          <w:szCs w:val="20"/>
          <w:lang w:val="en-US"/>
        </w:rPr>
        <w:t>l’arc</w:t>
      </w:r>
      <w:proofErr w:type="spellEnd"/>
      <w:r w:rsidRPr="005B1199">
        <w:rPr>
          <w:rFonts w:cs="Arial"/>
          <w:sz w:val="20"/>
          <w:szCs w:val="20"/>
          <w:lang w:val="en-US"/>
        </w:rPr>
        <w:t xml:space="preserve">. La Business Unit </w:t>
      </w:r>
      <w:proofErr w:type="spellStart"/>
      <w:r w:rsidRPr="005B1199">
        <w:rPr>
          <w:rFonts w:cs="Arial"/>
          <w:sz w:val="20"/>
          <w:szCs w:val="20"/>
          <w:lang w:val="en-US"/>
        </w:rPr>
        <w:t>est</w:t>
      </w:r>
      <w:proofErr w:type="spellEnd"/>
      <w:r w:rsidRPr="005B1199">
        <w:rPr>
          <w:rFonts w:cs="Arial"/>
          <w:sz w:val="20"/>
          <w:szCs w:val="20"/>
          <w:lang w:val="en-US"/>
        </w:rPr>
        <w:t xml:space="preserve"> </w:t>
      </w:r>
      <w:proofErr w:type="spellStart"/>
      <w:r w:rsidRPr="005B1199">
        <w:rPr>
          <w:rFonts w:cs="Arial"/>
          <w:sz w:val="20"/>
          <w:szCs w:val="20"/>
          <w:lang w:val="en-US"/>
        </w:rPr>
        <w:t>également</w:t>
      </w:r>
      <w:proofErr w:type="spellEnd"/>
      <w:r w:rsidRPr="005B1199">
        <w:rPr>
          <w:rFonts w:cs="Arial"/>
          <w:sz w:val="20"/>
          <w:szCs w:val="20"/>
          <w:lang w:val="en-US"/>
        </w:rPr>
        <w:t xml:space="preserve"> leader </w:t>
      </w:r>
      <w:proofErr w:type="spellStart"/>
      <w:r w:rsidRPr="005B1199">
        <w:rPr>
          <w:rFonts w:cs="Arial"/>
          <w:sz w:val="20"/>
          <w:szCs w:val="20"/>
          <w:lang w:val="en-US"/>
        </w:rPr>
        <w:t>mondial</w:t>
      </w:r>
      <w:proofErr w:type="spellEnd"/>
      <w:r w:rsidRPr="005B1199">
        <w:rPr>
          <w:rFonts w:cs="Arial"/>
          <w:sz w:val="20"/>
          <w:szCs w:val="20"/>
          <w:lang w:val="en-US"/>
        </w:rPr>
        <w:t xml:space="preserve"> </w:t>
      </w:r>
      <w:proofErr w:type="spellStart"/>
      <w:r w:rsidRPr="005B1199">
        <w:rPr>
          <w:rFonts w:cs="Arial"/>
          <w:sz w:val="20"/>
          <w:szCs w:val="20"/>
          <w:lang w:val="en-US"/>
        </w:rPr>
        <w:t>en</w:t>
      </w:r>
      <w:proofErr w:type="spellEnd"/>
      <w:r w:rsidRPr="005B1199">
        <w:rPr>
          <w:rFonts w:cs="Arial"/>
          <w:sz w:val="20"/>
          <w:szCs w:val="20"/>
          <w:lang w:val="en-US"/>
        </w:rPr>
        <w:t xml:space="preserve"> </w:t>
      </w:r>
      <w:proofErr w:type="spellStart"/>
      <w:r w:rsidRPr="005B1199">
        <w:rPr>
          <w:rFonts w:cs="Arial"/>
          <w:sz w:val="20"/>
          <w:szCs w:val="20"/>
          <w:lang w:val="en-US"/>
        </w:rPr>
        <w:t>soudage</w:t>
      </w:r>
      <w:proofErr w:type="spellEnd"/>
      <w:r w:rsidRPr="005B1199">
        <w:rPr>
          <w:rFonts w:cs="Arial"/>
          <w:sz w:val="20"/>
          <w:szCs w:val="20"/>
          <w:lang w:val="en-US"/>
        </w:rPr>
        <w:t xml:space="preserve"> </w:t>
      </w:r>
      <w:proofErr w:type="spellStart"/>
      <w:r w:rsidRPr="005B1199">
        <w:rPr>
          <w:rFonts w:cs="Arial"/>
          <w:sz w:val="20"/>
          <w:szCs w:val="20"/>
          <w:lang w:val="en-US"/>
        </w:rPr>
        <w:t>robotisé</w:t>
      </w:r>
      <w:proofErr w:type="spellEnd"/>
      <w:r w:rsidRPr="005B1199">
        <w:rPr>
          <w:rFonts w:cs="Arial"/>
          <w:sz w:val="20"/>
          <w:szCs w:val="20"/>
          <w:lang w:val="en-US"/>
        </w:rPr>
        <w:t xml:space="preserve">. </w:t>
      </w:r>
      <w:proofErr w:type="spellStart"/>
      <w:r w:rsidRPr="005B1199">
        <w:rPr>
          <w:rFonts w:cs="Arial"/>
          <w:sz w:val="20"/>
          <w:szCs w:val="20"/>
          <w:lang w:val="en-US"/>
        </w:rPr>
        <w:t>En</w:t>
      </w:r>
      <w:proofErr w:type="spellEnd"/>
      <w:r w:rsidRPr="005B1199">
        <w:rPr>
          <w:rFonts w:cs="Arial"/>
          <w:sz w:val="20"/>
          <w:szCs w:val="20"/>
          <w:lang w:val="en-US"/>
        </w:rPr>
        <w:t xml:space="preserve"> tant que </w:t>
      </w:r>
      <w:proofErr w:type="spellStart"/>
      <w:r w:rsidRPr="005B1199">
        <w:rPr>
          <w:rFonts w:cs="Arial"/>
          <w:sz w:val="20"/>
          <w:szCs w:val="20"/>
          <w:lang w:val="en-US"/>
        </w:rPr>
        <w:t>fournisseur</w:t>
      </w:r>
      <w:proofErr w:type="spellEnd"/>
      <w:r w:rsidRPr="005B1199">
        <w:rPr>
          <w:rFonts w:cs="Arial"/>
          <w:sz w:val="20"/>
          <w:szCs w:val="20"/>
          <w:lang w:val="en-US"/>
        </w:rPr>
        <w:t xml:space="preserve"> de </w:t>
      </w:r>
      <w:proofErr w:type="spellStart"/>
      <w:r w:rsidRPr="005B1199">
        <w:rPr>
          <w:rFonts w:cs="Arial"/>
          <w:sz w:val="20"/>
          <w:szCs w:val="20"/>
          <w:lang w:val="en-US"/>
        </w:rPr>
        <w:t>systèmes</w:t>
      </w:r>
      <w:proofErr w:type="spellEnd"/>
      <w:r w:rsidRPr="005B1199">
        <w:rPr>
          <w:rFonts w:cs="Arial"/>
          <w:sz w:val="20"/>
          <w:szCs w:val="20"/>
          <w:lang w:val="en-US"/>
        </w:rPr>
        <w:t xml:space="preserve">, le </w:t>
      </w:r>
      <w:proofErr w:type="spellStart"/>
      <w:r w:rsidRPr="005B1199">
        <w:rPr>
          <w:rFonts w:cs="Arial"/>
          <w:sz w:val="20"/>
          <w:szCs w:val="20"/>
          <w:lang w:val="en-US"/>
        </w:rPr>
        <w:t>secteur</w:t>
      </w:r>
      <w:proofErr w:type="spellEnd"/>
      <w:r w:rsidRPr="005B1199">
        <w:rPr>
          <w:rFonts w:cs="Arial"/>
          <w:sz w:val="20"/>
          <w:szCs w:val="20"/>
          <w:lang w:val="en-US"/>
        </w:rPr>
        <w:t xml:space="preserve"> Fronius Welding Automation </w:t>
      </w:r>
      <w:proofErr w:type="spellStart"/>
      <w:r w:rsidRPr="005B1199">
        <w:rPr>
          <w:rFonts w:cs="Arial"/>
          <w:sz w:val="20"/>
          <w:szCs w:val="20"/>
          <w:lang w:val="en-US"/>
        </w:rPr>
        <w:t>réalise</w:t>
      </w:r>
      <w:proofErr w:type="spellEnd"/>
      <w:r w:rsidRPr="005B1199">
        <w:rPr>
          <w:rFonts w:cs="Arial"/>
          <w:sz w:val="20"/>
          <w:szCs w:val="20"/>
          <w:lang w:val="en-US"/>
        </w:rPr>
        <w:t xml:space="preserve"> </w:t>
      </w:r>
      <w:proofErr w:type="spellStart"/>
      <w:r w:rsidRPr="005B1199">
        <w:rPr>
          <w:rFonts w:cs="Arial"/>
          <w:sz w:val="20"/>
          <w:szCs w:val="20"/>
          <w:lang w:val="en-US"/>
        </w:rPr>
        <w:t>en</w:t>
      </w:r>
      <w:proofErr w:type="spellEnd"/>
      <w:r w:rsidRPr="005B1199">
        <w:rPr>
          <w:rFonts w:cs="Arial"/>
          <w:sz w:val="20"/>
          <w:szCs w:val="20"/>
          <w:lang w:val="en-US"/>
        </w:rPr>
        <w:t xml:space="preserve"> </w:t>
      </w:r>
      <w:proofErr w:type="spellStart"/>
      <w:r w:rsidRPr="005B1199">
        <w:rPr>
          <w:rFonts w:cs="Arial"/>
          <w:sz w:val="20"/>
          <w:szCs w:val="20"/>
          <w:lang w:val="en-US"/>
        </w:rPr>
        <w:t>outre</w:t>
      </w:r>
      <w:proofErr w:type="spellEnd"/>
      <w:r w:rsidRPr="005B1199">
        <w:rPr>
          <w:rFonts w:cs="Arial"/>
          <w:sz w:val="20"/>
          <w:szCs w:val="20"/>
          <w:lang w:val="en-US"/>
        </w:rPr>
        <w:t xml:space="preserve"> des solutions </w:t>
      </w:r>
      <w:proofErr w:type="spellStart"/>
      <w:r w:rsidRPr="005B1199">
        <w:rPr>
          <w:rFonts w:cs="Arial"/>
          <w:sz w:val="20"/>
          <w:szCs w:val="20"/>
          <w:lang w:val="en-US"/>
        </w:rPr>
        <w:t>complètes</w:t>
      </w:r>
      <w:proofErr w:type="spellEnd"/>
      <w:r w:rsidRPr="005B1199">
        <w:rPr>
          <w:rFonts w:cs="Arial"/>
          <w:sz w:val="20"/>
          <w:szCs w:val="20"/>
          <w:lang w:val="en-US"/>
        </w:rPr>
        <w:t xml:space="preserve"> </w:t>
      </w:r>
      <w:proofErr w:type="spellStart"/>
      <w:r w:rsidRPr="005B1199">
        <w:rPr>
          <w:rFonts w:cs="Arial"/>
          <w:sz w:val="20"/>
          <w:szCs w:val="20"/>
          <w:lang w:val="en-US"/>
        </w:rPr>
        <w:t>personnalisées</w:t>
      </w:r>
      <w:proofErr w:type="spellEnd"/>
      <w:r w:rsidRPr="005B1199">
        <w:rPr>
          <w:rFonts w:cs="Arial"/>
          <w:sz w:val="20"/>
          <w:szCs w:val="20"/>
          <w:lang w:val="en-US"/>
        </w:rPr>
        <w:t xml:space="preserve"> pour le </w:t>
      </w:r>
      <w:proofErr w:type="spellStart"/>
      <w:r w:rsidRPr="005B1199">
        <w:rPr>
          <w:rFonts w:cs="Arial"/>
          <w:sz w:val="20"/>
          <w:szCs w:val="20"/>
          <w:lang w:val="en-US"/>
        </w:rPr>
        <w:t>soudage</w:t>
      </w:r>
      <w:proofErr w:type="spellEnd"/>
      <w:r w:rsidRPr="005B1199">
        <w:rPr>
          <w:rFonts w:cs="Arial"/>
          <w:sz w:val="20"/>
          <w:szCs w:val="20"/>
          <w:lang w:val="en-US"/>
        </w:rPr>
        <w:t xml:space="preserve"> </w:t>
      </w:r>
      <w:proofErr w:type="spellStart"/>
      <w:r w:rsidRPr="005B1199">
        <w:rPr>
          <w:rFonts w:cs="Arial"/>
          <w:sz w:val="20"/>
          <w:szCs w:val="20"/>
          <w:lang w:val="en-US"/>
        </w:rPr>
        <w:t>automatisé</w:t>
      </w:r>
      <w:proofErr w:type="spellEnd"/>
      <w:r w:rsidRPr="005B1199">
        <w:rPr>
          <w:rFonts w:cs="Arial"/>
          <w:sz w:val="20"/>
          <w:szCs w:val="20"/>
          <w:lang w:val="en-US"/>
        </w:rPr>
        <w:t xml:space="preserve">, </w:t>
      </w:r>
      <w:proofErr w:type="spellStart"/>
      <w:r w:rsidRPr="005B1199">
        <w:rPr>
          <w:rFonts w:cs="Arial"/>
          <w:sz w:val="20"/>
          <w:szCs w:val="20"/>
          <w:lang w:val="en-US"/>
        </w:rPr>
        <w:t>notamment</w:t>
      </w:r>
      <w:proofErr w:type="spellEnd"/>
      <w:r w:rsidRPr="005B1199">
        <w:rPr>
          <w:rFonts w:cs="Arial"/>
          <w:sz w:val="20"/>
          <w:szCs w:val="20"/>
          <w:lang w:val="en-US"/>
        </w:rPr>
        <w:t xml:space="preserve"> dans le </w:t>
      </w:r>
      <w:proofErr w:type="spellStart"/>
      <w:r w:rsidRPr="005B1199">
        <w:rPr>
          <w:rFonts w:cs="Arial"/>
          <w:sz w:val="20"/>
          <w:szCs w:val="20"/>
          <w:lang w:val="en-US"/>
        </w:rPr>
        <w:t>domaine</w:t>
      </w:r>
      <w:proofErr w:type="spellEnd"/>
      <w:r w:rsidRPr="005B1199">
        <w:rPr>
          <w:rFonts w:cs="Arial"/>
          <w:sz w:val="20"/>
          <w:szCs w:val="20"/>
          <w:lang w:val="en-US"/>
        </w:rPr>
        <w:t xml:space="preserve"> de la construction de </w:t>
      </w:r>
      <w:proofErr w:type="spellStart"/>
      <w:r w:rsidRPr="005B1199">
        <w:rPr>
          <w:rFonts w:cs="Arial"/>
          <w:sz w:val="20"/>
          <w:szCs w:val="20"/>
          <w:lang w:val="en-US"/>
        </w:rPr>
        <w:t>réservoirs</w:t>
      </w:r>
      <w:proofErr w:type="spellEnd"/>
      <w:r w:rsidRPr="005B1199">
        <w:rPr>
          <w:rFonts w:cs="Arial"/>
          <w:sz w:val="20"/>
          <w:szCs w:val="20"/>
          <w:lang w:val="en-US"/>
        </w:rPr>
        <w:t xml:space="preserve"> </w:t>
      </w:r>
      <w:proofErr w:type="spellStart"/>
      <w:r w:rsidRPr="005B1199">
        <w:rPr>
          <w:rFonts w:cs="Arial"/>
          <w:sz w:val="20"/>
          <w:szCs w:val="20"/>
          <w:lang w:val="en-US"/>
        </w:rPr>
        <w:t>ou</w:t>
      </w:r>
      <w:proofErr w:type="spellEnd"/>
      <w:r w:rsidRPr="005B1199">
        <w:rPr>
          <w:rFonts w:cs="Arial"/>
          <w:sz w:val="20"/>
          <w:szCs w:val="20"/>
          <w:lang w:val="en-US"/>
        </w:rPr>
        <w:t xml:space="preserve"> pour le </w:t>
      </w:r>
      <w:proofErr w:type="spellStart"/>
      <w:r w:rsidRPr="005B1199">
        <w:rPr>
          <w:rFonts w:cs="Arial"/>
          <w:sz w:val="20"/>
          <w:szCs w:val="20"/>
          <w:lang w:val="en-US"/>
        </w:rPr>
        <w:t>rechargement</w:t>
      </w:r>
      <w:proofErr w:type="spellEnd"/>
      <w:r w:rsidRPr="005B1199">
        <w:rPr>
          <w:rFonts w:cs="Arial"/>
          <w:sz w:val="20"/>
          <w:szCs w:val="20"/>
          <w:lang w:val="en-US"/>
        </w:rPr>
        <w:t xml:space="preserve"> par </w:t>
      </w:r>
      <w:proofErr w:type="spellStart"/>
      <w:r w:rsidRPr="005B1199">
        <w:rPr>
          <w:rFonts w:cs="Arial"/>
          <w:sz w:val="20"/>
          <w:szCs w:val="20"/>
          <w:lang w:val="en-US"/>
        </w:rPr>
        <w:t>soudure</w:t>
      </w:r>
      <w:proofErr w:type="spellEnd"/>
      <w:r w:rsidRPr="005B1199">
        <w:rPr>
          <w:rFonts w:cs="Arial"/>
          <w:sz w:val="20"/>
          <w:szCs w:val="20"/>
          <w:lang w:val="en-US"/>
        </w:rPr>
        <w:t xml:space="preserve"> dans le </w:t>
      </w:r>
      <w:proofErr w:type="spellStart"/>
      <w:r w:rsidRPr="005B1199">
        <w:rPr>
          <w:rFonts w:cs="Arial"/>
          <w:sz w:val="20"/>
          <w:szCs w:val="20"/>
          <w:lang w:val="en-US"/>
        </w:rPr>
        <w:t>secteur</w:t>
      </w:r>
      <w:proofErr w:type="spellEnd"/>
      <w:r w:rsidRPr="005B1199">
        <w:rPr>
          <w:rFonts w:cs="Arial"/>
          <w:sz w:val="20"/>
          <w:szCs w:val="20"/>
          <w:lang w:val="en-US"/>
        </w:rPr>
        <w:t xml:space="preserve"> offshore. La </w:t>
      </w:r>
      <w:proofErr w:type="spellStart"/>
      <w:r w:rsidRPr="005B1199">
        <w:rPr>
          <w:rFonts w:cs="Arial"/>
          <w:sz w:val="20"/>
          <w:szCs w:val="20"/>
          <w:lang w:val="en-US"/>
        </w:rPr>
        <w:t>gamme</w:t>
      </w:r>
      <w:proofErr w:type="spellEnd"/>
      <w:r w:rsidRPr="005B1199">
        <w:rPr>
          <w:rFonts w:cs="Arial"/>
          <w:sz w:val="20"/>
          <w:szCs w:val="20"/>
          <w:lang w:val="en-US"/>
        </w:rPr>
        <w:t xml:space="preserve"> </w:t>
      </w:r>
      <w:proofErr w:type="spellStart"/>
      <w:r w:rsidRPr="005B1199">
        <w:rPr>
          <w:rFonts w:cs="Arial"/>
          <w:sz w:val="20"/>
          <w:szCs w:val="20"/>
          <w:lang w:val="en-US"/>
        </w:rPr>
        <w:t>est</w:t>
      </w:r>
      <w:proofErr w:type="spellEnd"/>
      <w:r w:rsidRPr="005B1199">
        <w:rPr>
          <w:rFonts w:cs="Arial"/>
          <w:sz w:val="20"/>
          <w:szCs w:val="20"/>
          <w:lang w:val="en-US"/>
        </w:rPr>
        <w:t xml:space="preserve"> </w:t>
      </w:r>
      <w:proofErr w:type="spellStart"/>
      <w:r w:rsidRPr="005B1199">
        <w:rPr>
          <w:rFonts w:cs="Arial"/>
          <w:sz w:val="20"/>
          <w:szCs w:val="20"/>
          <w:lang w:val="en-US"/>
        </w:rPr>
        <w:t>complétée</w:t>
      </w:r>
      <w:proofErr w:type="spellEnd"/>
      <w:r w:rsidRPr="005B1199">
        <w:rPr>
          <w:rFonts w:cs="Arial"/>
          <w:sz w:val="20"/>
          <w:szCs w:val="20"/>
          <w:lang w:val="en-US"/>
        </w:rPr>
        <w:t xml:space="preserve"> par des sources de courant </w:t>
      </w:r>
      <w:proofErr w:type="gramStart"/>
      <w:r w:rsidRPr="005B1199">
        <w:rPr>
          <w:rFonts w:cs="Arial"/>
          <w:sz w:val="20"/>
          <w:szCs w:val="20"/>
          <w:lang w:val="en-US"/>
        </w:rPr>
        <w:t>pour</w:t>
      </w:r>
      <w:proofErr w:type="gramEnd"/>
      <w:r w:rsidRPr="005B1199">
        <w:rPr>
          <w:rFonts w:cs="Arial"/>
          <w:sz w:val="20"/>
          <w:szCs w:val="20"/>
          <w:lang w:val="en-US"/>
        </w:rPr>
        <w:t xml:space="preserve"> les applications </w:t>
      </w:r>
      <w:proofErr w:type="spellStart"/>
      <w:r w:rsidRPr="005B1199">
        <w:rPr>
          <w:rFonts w:cs="Arial"/>
          <w:sz w:val="20"/>
          <w:szCs w:val="20"/>
          <w:lang w:val="en-US"/>
        </w:rPr>
        <w:t>manuelles</w:t>
      </w:r>
      <w:proofErr w:type="spellEnd"/>
      <w:r w:rsidRPr="005B1199">
        <w:rPr>
          <w:rFonts w:cs="Arial"/>
          <w:sz w:val="20"/>
          <w:szCs w:val="20"/>
          <w:lang w:val="en-US"/>
        </w:rPr>
        <w:t xml:space="preserve">, des </w:t>
      </w:r>
      <w:proofErr w:type="spellStart"/>
      <w:r w:rsidRPr="005B1199">
        <w:rPr>
          <w:rFonts w:cs="Arial"/>
          <w:sz w:val="20"/>
          <w:szCs w:val="20"/>
          <w:lang w:val="en-US"/>
        </w:rPr>
        <w:t>accessoires</w:t>
      </w:r>
      <w:proofErr w:type="spellEnd"/>
      <w:r w:rsidRPr="005B1199">
        <w:rPr>
          <w:rFonts w:cs="Arial"/>
          <w:sz w:val="20"/>
          <w:szCs w:val="20"/>
          <w:lang w:val="en-US"/>
        </w:rPr>
        <w:t xml:space="preserve"> de </w:t>
      </w:r>
      <w:proofErr w:type="spellStart"/>
      <w:r w:rsidRPr="005B1199">
        <w:rPr>
          <w:rFonts w:cs="Arial"/>
          <w:sz w:val="20"/>
          <w:szCs w:val="20"/>
          <w:lang w:val="en-US"/>
        </w:rPr>
        <w:t>soudage</w:t>
      </w:r>
      <w:proofErr w:type="spellEnd"/>
      <w:r w:rsidRPr="005B1199">
        <w:rPr>
          <w:rFonts w:cs="Arial"/>
          <w:sz w:val="20"/>
          <w:szCs w:val="20"/>
          <w:lang w:val="en-US"/>
        </w:rPr>
        <w:t xml:space="preserve"> </w:t>
      </w:r>
      <w:proofErr w:type="spellStart"/>
      <w:r w:rsidRPr="005B1199">
        <w:rPr>
          <w:rFonts w:cs="Arial"/>
          <w:sz w:val="20"/>
          <w:szCs w:val="20"/>
          <w:lang w:val="en-US"/>
        </w:rPr>
        <w:t>ainsi</w:t>
      </w:r>
      <w:proofErr w:type="spellEnd"/>
      <w:r w:rsidRPr="005B1199">
        <w:rPr>
          <w:rFonts w:cs="Arial"/>
          <w:sz w:val="20"/>
          <w:szCs w:val="20"/>
          <w:lang w:val="en-US"/>
        </w:rPr>
        <w:t xml:space="preserve"> </w:t>
      </w:r>
      <w:proofErr w:type="spellStart"/>
      <w:r w:rsidRPr="005B1199">
        <w:rPr>
          <w:rFonts w:cs="Arial"/>
          <w:sz w:val="20"/>
          <w:szCs w:val="20"/>
          <w:lang w:val="en-US"/>
        </w:rPr>
        <w:t>qu’un</w:t>
      </w:r>
      <w:proofErr w:type="spellEnd"/>
      <w:r w:rsidRPr="005B1199">
        <w:rPr>
          <w:rFonts w:cs="Arial"/>
          <w:sz w:val="20"/>
          <w:szCs w:val="20"/>
          <w:lang w:val="en-US"/>
        </w:rPr>
        <w:t xml:space="preserve"> large </w:t>
      </w:r>
      <w:proofErr w:type="spellStart"/>
      <w:r w:rsidRPr="005B1199">
        <w:rPr>
          <w:rFonts w:cs="Arial"/>
          <w:sz w:val="20"/>
          <w:szCs w:val="20"/>
          <w:lang w:val="en-US"/>
        </w:rPr>
        <w:t>éventail</w:t>
      </w:r>
      <w:proofErr w:type="spellEnd"/>
      <w:r w:rsidRPr="005B1199">
        <w:rPr>
          <w:rFonts w:cs="Arial"/>
          <w:sz w:val="20"/>
          <w:szCs w:val="20"/>
          <w:lang w:val="en-US"/>
        </w:rPr>
        <w:t xml:space="preserve"> de </w:t>
      </w:r>
      <w:proofErr w:type="spellStart"/>
      <w:r w:rsidRPr="005B1199">
        <w:rPr>
          <w:rFonts w:cs="Arial"/>
          <w:sz w:val="20"/>
          <w:szCs w:val="20"/>
          <w:lang w:val="en-US"/>
        </w:rPr>
        <w:t>prestations</w:t>
      </w:r>
      <w:proofErr w:type="spellEnd"/>
      <w:r w:rsidRPr="005B1199">
        <w:rPr>
          <w:rFonts w:cs="Arial"/>
          <w:sz w:val="20"/>
          <w:szCs w:val="20"/>
          <w:lang w:val="en-US"/>
        </w:rPr>
        <w:t xml:space="preserve"> de service. Avec plus de 1 000 </w:t>
      </w:r>
      <w:proofErr w:type="spellStart"/>
      <w:r w:rsidRPr="005B1199">
        <w:rPr>
          <w:rFonts w:cs="Arial"/>
          <w:sz w:val="20"/>
          <w:szCs w:val="20"/>
          <w:lang w:val="en-US"/>
        </w:rPr>
        <w:t>partenaires</w:t>
      </w:r>
      <w:proofErr w:type="spellEnd"/>
      <w:r w:rsidRPr="005B1199">
        <w:rPr>
          <w:rFonts w:cs="Arial"/>
          <w:sz w:val="20"/>
          <w:szCs w:val="20"/>
          <w:lang w:val="en-US"/>
        </w:rPr>
        <w:t xml:space="preserve"> </w:t>
      </w:r>
      <w:proofErr w:type="spellStart"/>
      <w:r w:rsidRPr="005B1199">
        <w:rPr>
          <w:rFonts w:cs="Arial"/>
          <w:sz w:val="20"/>
          <w:szCs w:val="20"/>
          <w:lang w:val="en-US"/>
        </w:rPr>
        <w:t>commerciaux</w:t>
      </w:r>
      <w:proofErr w:type="spellEnd"/>
      <w:r w:rsidRPr="005B1199">
        <w:rPr>
          <w:rFonts w:cs="Arial"/>
          <w:sz w:val="20"/>
          <w:szCs w:val="20"/>
          <w:lang w:val="en-US"/>
        </w:rPr>
        <w:t xml:space="preserve"> à travers le monde, Fronius Perfect Welding </w:t>
      </w:r>
      <w:proofErr w:type="spellStart"/>
      <w:r w:rsidRPr="005B1199">
        <w:rPr>
          <w:rFonts w:cs="Arial"/>
          <w:sz w:val="20"/>
          <w:szCs w:val="20"/>
          <w:lang w:val="en-US"/>
        </w:rPr>
        <w:t>est</w:t>
      </w:r>
      <w:proofErr w:type="spellEnd"/>
      <w:r w:rsidRPr="005B1199">
        <w:rPr>
          <w:rFonts w:cs="Arial"/>
          <w:sz w:val="20"/>
          <w:szCs w:val="20"/>
          <w:lang w:val="en-US"/>
        </w:rPr>
        <w:t xml:space="preserve"> </w:t>
      </w:r>
      <w:proofErr w:type="spellStart"/>
      <w:r w:rsidRPr="005B1199">
        <w:rPr>
          <w:rFonts w:cs="Arial"/>
          <w:sz w:val="20"/>
          <w:szCs w:val="20"/>
          <w:lang w:val="en-US"/>
        </w:rPr>
        <w:t>particulièrement</w:t>
      </w:r>
      <w:proofErr w:type="spellEnd"/>
      <w:r w:rsidRPr="005B1199">
        <w:rPr>
          <w:rFonts w:cs="Arial"/>
          <w:sz w:val="20"/>
          <w:szCs w:val="20"/>
          <w:lang w:val="en-US"/>
        </w:rPr>
        <w:t xml:space="preserve"> </w:t>
      </w:r>
      <w:proofErr w:type="spellStart"/>
      <w:r w:rsidRPr="005B1199">
        <w:rPr>
          <w:rFonts w:cs="Arial"/>
          <w:sz w:val="20"/>
          <w:szCs w:val="20"/>
          <w:lang w:val="en-US"/>
        </w:rPr>
        <w:t>proche</w:t>
      </w:r>
      <w:proofErr w:type="spellEnd"/>
      <w:r w:rsidRPr="005B1199">
        <w:rPr>
          <w:rFonts w:cs="Arial"/>
          <w:sz w:val="20"/>
          <w:szCs w:val="20"/>
          <w:lang w:val="en-US"/>
        </w:rPr>
        <w:t xml:space="preserve"> de </w:t>
      </w:r>
      <w:proofErr w:type="spellStart"/>
      <w:r w:rsidRPr="005B1199">
        <w:rPr>
          <w:rFonts w:cs="Arial"/>
          <w:sz w:val="20"/>
          <w:szCs w:val="20"/>
          <w:lang w:val="en-US"/>
        </w:rPr>
        <w:t>ses</w:t>
      </w:r>
      <w:proofErr w:type="spellEnd"/>
      <w:r w:rsidRPr="005B1199">
        <w:rPr>
          <w:rFonts w:cs="Arial"/>
          <w:sz w:val="20"/>
          <w:szCs w:val="20"/>
          <w:lang w:val="en-US"/>
        </w:rPr>
        <w:t xml:space="preserve"> clients.</w:t>
      </w:r>
    </w:p>
    <w:p w14:paraId="5DD49791" w14:textId="77777777" w:rsidR="005B1199" w:rsidRPr="005B1199" w:rsidRDefault="005B1199" w:rsidP="005B1199">
      <w:pPr>
        <w:pStyle w:val="berschrift4"/>
        <w:jc w:val="both"/>
        <w:rPr>
          <w:sz w:val="20"/>
          <w:szCs w:val="20"/>
        </w:rPr>
      </w:pPr>
    </w:p>
    <w:p w14:paraId="3FC78458" w14:textId="77777777" w:rsidR="005B1199" w:rsidRPr="005B1199" w:rsidRDefault="005B1199" w:rsidP="005B1199">
      <w:pPr>
        <w:pStyle w:val="berschrift4"/>
        <w:jc w:val="both"/>
        <w:rPr>
          <w:sz w:val="20"/>
          <w:szCs w:val="20"/>
        </w:rPr>
      </w:pPr>
      <w:r w:rsidRPr="005B1199">
        <w:rPr>
          <w:sz w:val="20"/>
          <w:szCs w:val="20"/>
        </w:rPr>
        <w:t xml:space="preserve">Fronius International </w:t>
      </w:r>
      <w:proofErr w:type="spellStart"/>
      <w:r w:rsidRPr="005B1199">
        <w:rPr>
          <w:sz w:val="20"/>
          <w:szCs w:val="20"/>
        </w:rPr>
        <w:t>GmbH</w:t>
      </w:r>
      <w:proofErr w:type="spellEnd"/>
    </w:p>
    <w:p w14:paraId="2EB28D1F" w14:textId="3E2DC546" w:rsidR="005B1199" w:rsidRPr="00762FDD" w:rsidRDefault="005B1199" w:rsidP="00762FDD">
      <w:pPr>
        <w:rPr>
          <w:i/>
          <w:sz w:val="20"/>
          <w:szCs w:val="20"/>
          <w:lang w:val="en-US"/>
        </w:rPr>
      </w:pPr>
      <w:r w:rsidRPr="005B1199">
        <w:rPr>
          <w:rFonts w:cs="Arial"/>
          <w:sz w:val="20"/>
          <w:szCs w:val="20"/>
        </w:rPr>
        <w:t xml:space="preserve">Fronius International </w:t>
      </w:r>
      <w:proofErr w:type="spellStart"/>
      <w:r w:rsidRPr="005B1199">
        <w:rPr>
          <w:rFonts w:cs="Arial"/>
          <w:sz w:val="20"/>
          <w:szCs w:val="20"/>
        </w:rPr>
        <w:t>GmbH</w:t>
      </w:r>
      <w:proofErr w:type="spellEnd"/>
      <w:r w:rsidRPr="005B1199">
        <w:rPr>
          <w:rFonts w:cs="Arial"/>
          <w:sz w:val="20"/>
          <w:szCs w:val="20"/>
        </w:rPr>
        <w:t xml:space="preserve"> est une entreprise autrichienne dont le siège se trouve à Pettenbach et qui dispose de sites à Wels, </w:t>
      </w:r>
      <w:proofErr w:type="spellStart"/>
      <w:r w:rsidRPr="005B1199">
        <w:rPr>
          <w:rFonts w:cs="Arial"/>
          <w:sz w:val="20"/>
          <w:szCs w:val="20"/>
        </w:rPr>
        <w:t>Thalheim</w:t>
      </w:r>
      <w:proofErr w:type="spellEnd"/>
      <w:r w:rsidRPr="005B1199">
        <w:rPr>
          <w:rFonts w:cs="Arial"/>
          <w:sz w:val="20"/>
          <w:szCs w:val="20"/>
        </w:rPr>
        <w:t xml:space="preserve">, </w:t>
      </w:r>
      <w:proofErr w:type="spellStart"/>
      <w:r w:rsidRPr="005B1199">
        <w:rPr>
          <w:rFonts w:cs="Arial"/>
          <w:sz w:val="20"/>
          <w:szCs w:val="20"/>
        </w:rPr>
        <w:t>Steinhaus</w:t>
      </w:r>
      <w:proofErr w:type="spellEnd"/>
      <w:r w:rsidRPr="005B1199">
        <w:rPr>
          <w:rFonts w:cs="Arial"/>
          <w:sz w:val="20"/>
          <w:szCs w:val="20"/>
        </w:rPr>
        <w:t xml:space="preserve"> et </w:t>
      </w:r>
      <w:proofErr w:type="spellStart"/>
      <w:r w:rsidRPr="005B1199">
        <w:rPr>
          <w:rFonts w:cs="Arial"/>
          <w:sz w:val="20"/>
          <w:szCs w:val="20"/>
        </w:rPr>
        <w:t>Sattledt</w:t>
      </w:r>
      <w:proofErr w:type="spellEnd"/>
      <w:r w:rsidRPr="005B1199">
        <w:rPr>
          <w:rFonts w:cs="Arial"/>
          <w:sz w:val="20"/>
          <w:szCs w:val="20"/>
        </w:rPr>
        <w:t xml:space="preserve">. L’entreprise est active dans les secteurs des techniques de soudage, du photovoltaïque ainsi que des techniques de charge, et emploie 6 100 collaborateurs au niveau international. La part des exportations tourne autour de 89 % grâce à ses 36 filiales internationales Fronius, ses partenaires de vente et ses représentants présents dans plus de 60 pays. </w:t>
      </w:r>
      <w:proofErr w:type="spellStart"/>
      <w:r w:rsidRPr="005B1199">
        <w:rPr>
          <w:rFonts w:cs="Arial"/>
          <w:sz w:val="20"/>
          <w:szCs w:val="20"/>
          <w:lang w:val="en-US"/>
        </w:rPr>
        <w:t>Ses</w:t>
      </w:r>
      <w:proofErr w:type="spellEnd"/>
      <w:r w:rsidRPr="005B1199">
        <w:rPr>
          <w:rFonts w:cs="Arial"/>
          <w:sz w:val="20"/>
          <w:szCs w:val="20"/>
          <w:lang w:val="en-US"/>
        </w:rPr>
        <w:t xml:space="preserve"> </w:t>
      </w:r>
      <w:proofErr w:type="spellStart"/>
      <w:r w:rsidRPr="005B1199">
        <w:rPr>
          <w:rFonts w:cs="Arial"/>
          <w:sz w:val="20"/>
          <w:szCs w:val="20"/>
          <w:lang w:val="en-US"/>
        </w:rPr>
        <w:t>produits</w:t>
      </w:r>
      <w:proofErr w:type="spellEnd"/>
      <w:r w:rsidRPr="005B1199">
        <w:rPr>
          <w:rFonts w:cs="Arial"/>
          <w:sz w:val="20"/>
          <w:szCs w:val="20"/>
          <w:lang w:val="en-US"/>
        </w:rPr>
        <w:t xml:space="preserve"> et services </w:t>
      </w:r>
      <w:proofErr w:type="spellStart"/>
      <w:r w:rsidRPr="005B1199">
        <w:rPr>
          <w:rFonts w:cs="Arial"/>
          <w:sz w:val="20"/>
          <w:szCs w:val="20"/>
          <w:lang w:val="en-US"/>
        </w:rPr>
        <w:t>innovants</w:t>
      </w:r>
      <w:proofErr w:type="spellEnd"/>
      <w:r w:rsidRPr="005B1199">
        <w:rPr>
          <w:rFonts w:cs="Arial"/>
          <w:sz w:val="20"/>
          <w:szCs w:val="20"/>
          <w:lang w:val="en-US"/>
        </w:rPr>
        <w:t xml:space="preserve"> </w:t>
      </w:r>
      <w:proofErr w:type="spellStart"/>
      <w:r w:rsidRPr="005B1199">
        <w:rPr>
          <w:rFonts w:cs="Arial"/>
          <w:sz w:val="20"/>
          <w:szCs w:val="20"/>
          <w:lang w:val="en-US"/>
        </w:rPr>
        <w:t>ainsi</w:t>
      </w:r>
      <w:proofErr w:type="spellEnd"/>
      <w:r w:rsidRPr="005B1199">
        <w:rPr>
          <w:rFonts w:cs="Arial"/>
          <w:sz w:val="20"/>
          <w:szCs w:val="20"/>
          <w:lang w:val="en-US"/>
        </w:rPr>
        <w:t xml:space="preserve"> que 1.366 brevets </w:t>
      </w:r>
      <w:proofErr w:type="spellStart"/>
      <w:r w:rsidRPr="005B1199">
        <w:rPr>
          <w:rFonts w:cs="Arial"/>
          <w:sz w:val="20"/>
          <w:szCs w:val="20"/>
          <w:lang w:val="en-US"/>
        </w:rPr>
        <w:t>délivrés</w:t>
      </w:r>
      <w:proofErr w:type="spellEnd"/>
      <w:r w:rsidRPr="005B1199">
        <w:rPr>
          <w:rFonts w:cs="Arial"/>
          <w:sz w:val="20"/>
          <w:szCs w:val="20"/>
          <w:lang w:val="en-US"/>
        </w:rPr>
        <w:t xml:space="preserve"> font de Fronius un leader </w:t>
      </w:r>
      <w:proofErr w:type="spellStart"/>
      <w:r w:rsidRPr="005B1199">
        <w:rPr>
          <w:rFonts w:cs="Arial"/>
          <w:sz w:val="20"/>
          <w:szCs w:val="20"/>
          <w:lang w:val="en-US"/>
        </w:rPr>
        <w:t>en</w:t>
      </w:r>
      <w:proofErr w:type="spellEnd"/>
      <w:r w:rsidRPr="005B1199">
        <w:rPr>
          <w:rFonts w:cs="Arial"/>
          <w:sz w:val="20"/>
          <w:szCs w:val="20"/>
          <w:lang w:val="en-US"/>
        </w:rPr>
        <w:t xml:space="preserve"> innovations sur le </w:t>
      </w:r>
      <w:proofErr w:type="spellStart"/>
      <w:r w:rsidRPr="005B1199">
        <w:rPr>
          <w:rFonts w:cs="Arial"/>
          <w:sz w:val="20"/>
          <w:szCs w:val="20"/>
          <w:lang w:val="en-US"/>
        </w:rPr>
        <w:t>marché</w:t>
      </w:r>
      <w:proofErr w:type="spellEnd"/>
      <w:r w:rsidRPr="005B1199">
        <w:rPr>
          <w:rFonts w:cs="Arial"/>
          <w:sz w:val="20"/>
          <w:szCs w:val="20"/>
          <w:lang w:val="en-US"/>
        </w:rPr>
        <w:t xml:space="preserve"> </w:t>
      </w:r>
      <w:proofErr w:type="spellStart"/>
      <w:r w:rsidRPr="005B1199">
        <w:rPr>
          <w:rFonts w:cs="Arial"/>
          <w:sz w:val="20"/>
          <w:szCs w:val="20"/>
          <w:lang w:val="en-US"/>
        </w:rPr>
        <w:t>mondial</w:t>
      </w:r>
      <w:proofErr w:type="spellEnd"/>
      <w:r w:rsidRPr="005B1199">
        <w:rPr>
          <w:rFonts w:cs="Arial"/>
          <w:sz w:val="20"/>
          <w:szCs w:val="20"/>
          <w:lang w:val="en-US"/>
        </w:rPr>
        <w:t>.</w:t>
      </w:r>
      <w:r w:rsidR="00762FDD">
        <w:rPr>
          <w:rFonts w:cs="Arial"/>
          <w:sz w:val="20"/>
          <w:szCs w:val="20"/>
          <w:lang w:val="en-US"/>
        </w:rPr>
        <w:br/>
      </w:r>
    </w:p>
    <w:p w14:paraId="12DCA18D" w14:textId="3A7FE647" w:rsidR="005B1199" w:rsidRPr="005B1199" w:rsidRDefault="005B1199" w:rsidP="005B1199">
      <w:pPr>
        <w:pStyle w:val="KeinLeerraum"/>
        <w:rPr>
          <w:rFonts w:cs="Arial"/>
          <w:bCs/>
          <w:noProof/>
          <w:color w:val="000000"/>
          <w:sz w:val="20"/>
          <w:szCs w:val="20"/>
          <w:lang w:val="en-US"/>
        </w:rPr>
      </w:pPr>
      <w:r w:rsidRPr="005B1199">
        <w:rPr>
          <w:rFonts w:cs="Arial"/>
          <w:bCs/>
          <w:sz w:val="20"/>
          <w:szCs w:val="20"/>
          <w:u w:val="single"/>
          <w:lang w:val="en-US"/>
        </w:rPr>
        <w:t xml:space="preserve">Pour </w:t>
      </w:r>
      <w:proofErr w:type="spellStart"/>
      <w:r w:rsidRPr="005B1199">
        <w:rPr>
          <w:rFonts w:cs="Arial"/>
          <w:bCs/>
          <w:sz w:val="20"/>
          <w:szCs w:val="20"/>
          <w:u w:val="single"/>
          <w:lang w:val="en-US"/>
        </w:rPr>
        <w:t>toute</w:t>
      </w:r>
      <w:proofErr w:type="spellEnd"/>
      <w:r w:rsidRPr="005B1199">
        <w:rPr>
          <w:rFonts w:cs="Arial"/>
          <w:bCs/>
          <w:sz w:val="20"/>
          <w:szCs w:val="20"/>
          <w:u w:val="single"/>
          <w:lang w:val="en-US"/>
        </w:rPr>
        <w:t xml:space="preserve"> </w:t>
      </w:r>
      <w:proofErr w:type="spellStart"/>
      <w:r w:rsidRPr="005B1199">
        <w:rPr>
          <w:rFonts w:cs="Arial"/>
          <w:bCs/>
          <w:sz w:val="20"/>
          <w:szCs w:val="20"/>
          <w:u w:val="single"/>
          <w:lang w:val="en-US"/>
        </w:rPr>
        <w:t>autre</w:t>
      </w:r>
      <w:proofErr w:type="spellEnd"/>
      <w:r w:rsidRPr="005B1199">
        <w:rPr>
          <w:rFonts w:cs="Arial"/>
          <w:bCs/>
          <w:sz w:val="20"/>
          <w:szCs w:val="20"/>
          <w:u w:val="single"/>
          <w:lang w:val="en-US"/>
        </w:rPr>
        <w:t xml:space="preserve"> information, </w:t>
      </w:r>
      <w:proofErr w:type="spellStart"/>
      <w:r w:rsidRPr="005B1199">
        <w:rPr>
          <w:rFonts w:cs="Arial"/>
          <w:bCs/>
          <w:sz w:val="20"/>
          <w:szCs w:val="20"/>
          <w:u w:val="single"/>
          <w:lang w:val="en-US"/>
        </w:rPr>
        <w:t>veuillez</w:t>
      </w:r>
      <w:proofErr w:type="spellEnd"/>
      <w:r w:rsidRPr="005B1199">
        <w:rPr>
          <w:rFonts w:cs="Arial"/>
          <w:bCs/>
          <w:sz w:val="20"/>
          <w:szCs w:val="20"/>
          <w:u w:val="single"/>
          <w:lang w:val="en-US"/>
        </w:rPr>
        <w:t xml:space="preserve"> prendre contact </w:t>
      </w:r>
      <w:proofErr w:type="gramStart"/>
      <w:r w:rsidRPr="005B1199">
        <w:rPr>
          <w:rFonts w:cs="Arial"/>
          <w:bCs/>
          <w:sz w:val="20"/>
          <w:szCs w:val="20"/>
          <w:u w:val="single"/>
          <w:lang w:val="en-US"/>
        </w:rPr>
        <w:t>avec :</w:t>
      </w:r>
      <w:proofErr w:type="gramEnd"/>
      <w:r w:rsidRPr="005B1199">
        <w:rPr>
          <w:rFonts w:cs="Arial"/>
          <w:bCs/>
          <w:sz w:val="20"/>
          <w:szCs w:val="20"/>
          <w:u w:val="single"/>
          <w:lang w:val="en-US"/>
        </w:rPr>
        <w:br/>
      </w:r>
      <w:r w:rsidRPr="005B1199">
        <w:rPr>
          <w:rFonts w:cs="Arial"/>
          <w:bCs/>
          <w:noProof/>
          <w:color w:val="000000"/>
          <w:sz w:val="20"/>
          <w:szCs w:val="20"/>
          <w:lang w:val="en-US"/>
        </w:rPr>
        <w:t>Arthy Andraud, 8 Rue du Meunier BP 14061, Roissy CDG Cedex</w:t>
      </w:r>
    </w:p>
    <w:p w14:paraId="352E560C" w14:textId="77777777" w:rsidR="005B1199" w:rsidRPr="005B1199" w:rsidRDefault="005B1199" w:rsidP="005B1199">
      <w:pPr>
        <w:pStyle w:val="KeinLeerraum"/>
        <w:rPr>
          <w:rFonts w:cs="Arial"/>
          <w:noProof/>
          <w:color w:val="000000"/>
          <w:sz w:val="20"/>
          <w:szCs w:val="20"/>
          <w:lang w:val="es-ES"/>
        </w:rPr>
      </w:pPr>
      <w:r w:rsidRPr="005B1199">
        <w:rPr>
          <w:rFonts w:cs="Arial"/>
          <w:noProof/>
          <w:color w:val="000000"/>
          <w:sz w:val="20"/>
          <w:szCs w:val="20"/>
          <w:lang w:val="es-ES"/>
        </w:rPr>
        <w:t xml:space="preserve">Tél.: +33 0 1 39 33 12 46, </w:t>
      </w:r>
      <w:hyperlink r:id="rId13" w:history="1">
        <w:r w:rsidRPr="005B1199">
          <w:rPr>
            <w:rStyle w:val="Hyperlink"/>
            <w:rFonts w:cs="Arial"/>
            <w:noProof/>
            <w:sz w:val="20"/>
            <w:szCs w:val="20"/>
            <w:lang w:val="es-ES"/>
          </w:rPr>
          <w:t>andraud.arthy@fronius.com</w:t>
        </w:r>
      </w:hyperlink>
    </w:p>
    <w:p w14:paraId="3904D713" w14:textId="77777777" w:rsidR="005B1199" w:rsidRPr="005B1199" w:rsidRDefault="005B1199" w:rsidP="00762FDD">
      <w:pPr>
        <w:pStyle w:val="Textkrper-Zeileneinzug"/>
        <w:spacing w:after="0"/>
        <w:ind w:left="0" w:right="-255"/>
        <w:rPr>
          <w:rFonts w:cs="Arial"/>
          <w:i/>
          <w:noProof/>
          <w:szCs w:val="20"/>
          <w:lang w:val="es-ES"/>
        </w:rPr>
      </w:pPr>
    </w:p>
    <w:p w14:paraId="09BBD7DC" w14:textId="77777777" w:rsidR="005B1199" w:rsidRPr="005B1199" w:rsidRDefault="005B1199" w:rsidP="005B1199">
      <w:pPr>
        <w:pStyle w:val="Textkrper2"/>
        <w:spacing w:after="0" w:line="240" w:lineRule="auto"/>
        <w:ind w:right="29"/>
        <w:rPr>
          <w:rFonts w:ascii="Noto Sans" w:hAnsi="Noto Sans" w:cs="Noto Sans"/>
          <w:bCs/>
          <w:szCs w:val="20"/>
          <w:u w:val="single"/>
        </w:rPr>
      </w:pPr>
      <w:r w:rsidRPr="005B1199">
        <w:rPr>
          <w:rFonts w:ascii="Noto Sans" w:hAnsi="Noto Sans" w:cs="Noto Sans"/>
          <w:bCs/>
          <w:szCs w:val="20"/>
          <w:u w:val="single"/>
        </w:rPr>
        <w:t>Veuillez envoyer un exemplaire justificatif à notre agence :</w:t>
      </w:r>
    </w:p>
    <w:p w14:paraId="0654D23D" w14:textId="77777777" w:rsidR="005B1199" w:rsidRPr="005B1199" w:rsidRDefault="005B1199" w:rsidP="005B1199">
      <w:pPr>
        <w:pStyle w:val="Textkrper2"/>
        <w:spacing w:after="0" w:line="240" w:lineRule="auto"/>
        <w:ind w:right="29"/>
        <w:rPr>
          <w:rFonts w:ascii="Noto Sans" w:hAnsi="Noto Sans" w:cs="Noto Sans"/>
          <w:szCs w:val="20"/>
          <w:lang w:val="de-DE"/>
        </w:rPr>
      </w:pPr>
      <w:r w:rsidRPr="005B1199">
        <w:rPr>
          <w:rFonts w:ascii="Noto Sans" w:hAnsi="Noto Sans" w:cs="Noto Sans"/>
          <w:szCs w:val="20"/>
          <w:lang w:val="de-DE"/>
        </w:rPr>
        <w:t xml:space="preserve">a1kommunikation Schweizer GmbH, </w:t>
      </w:r>
      <w:proofErr w:type="spellStart"/>
      <w:r w:rsidRPr="005B1199">
        <w:rPr>
          <w:rFonts w:ascii="Noto Sans" w:hAnsi="Noto Sans" w:cs="Noto Sans"/>
          <w:szCs w:val="20"/>
          <w:lang w:val="de-DE"/>
        </w:rPr>
        <w:t>Mdm</w:t>
      </w:r>
      <w:proofErr w:type="spellEnd"/>
      <w:r w:rsidRPr="005B1199">
        <w:rPr>
          <w:rFonts w:ascii="Noto Sans" w:hAnsi="Noto Sans" w:cs="Noto Sans"/>
          <w:szCs w:val="20"/>
          <w:lang w:val="de-DE"/>
        </w:rPr>
        <w:t>. Kirsten Ludwig,</w:t>
      </w:r>
    </w:p>
    <w:p w14:paraId="7F12344A" w14:textId="77777777" w:rsidR="005B1199" w:rsidRPr="005B1199" w:rsidRDefault="005B1199" w:rsidP="005B1199">
      <w:pPr>
        <w:pStyle w:val="Textkrper2"/>
        <w:spacing w:after="0" w:line="240" w:lineRule="auto"/>
        <w:ind w:right="29"/>
        <w:rPr>
          <w:rFonts w:ascii="Noto Sans" w:hAnsi="Noto Sans" w:cs="Noto Sans"/>
          <w:szCs w:val="20"/>
          <w:lang w:val="de-DE"/>
        </w:rPr>
      </w:pPr>
      <w:r w:rsidRPr="005B1199">
        <w:rPr>
          <w:rFonts w:ascii="Noto Sans" w:hAnsi="Noto Sans" w:cs="Noto Sans"/>
          <w:szCs w:val="20"/>
          <w:lang w:val="de-DE"/>
        </w:rPr>
        <w:t>Oberdorfstraße 31 A, 70794 Filderstadt, Deutschland</w:t>
      </w:r>
    </w:p>
    <w:p w14:paraId="08004BB5" w14:textId="310C4131" w:rsidR="005B1199" w:rsidRPr="00762FDD" w:rsidRDefault="005B1199" w:rsidP="005B1199">
      <w:pPr>
        <w:rPr>
          <w:sz w:val="20"/>
          <w:szCs w:val="20"/>
        </w:rPr>
      </w:pPr>
      <w:proofErr w:type="spellStart"/>
      <w:proofErr w:type="gramStart"/>
      <w:r w:rsidRPr="005B1199">
        <w:rPr>
          <w:sz w:val="20"/>
          <w:szCs w:val="20"/>
          <w:lang w:val="de-DE"/>
        </w:rPr>
        <w:t>tél</w:t>
      </w:r>
      <w:proofErr w:type="spellEnd"/>
      <w:r w:rsidRPr="005B1199">
        <w:rPr>
          <w:sz w:val="20"/>
          <w:szCs w:val="20"/>
          <w:lang w:val="de-DE"/>
        </w:rPr>
        <w:t> :</w:t>
      </w:r>
      <w:proofErr w:type="gramEnd"/>
      <w:r w:rsidRPr="005B1199">
        <w:rPr>
          <w:sz w:val="20"/>
          <w:szCs w:val="20"/>
          <w:lang w:val="de-DE"/>
        </w:rPr>
        <w:t xml:space="preserve"> +49 0 711 9454161-20, </w:t>
      </w:r>
      <w:r w:rsidRPr="005B1199">
        <w:rPr>
          <w:sz w:val="20"/>
          <w:szCs w:val="20"/>
          <w:lang w:val="de-DE"/>
        </w:rPr>
        <w:br/>
      </w:r>
      <w:proofErr w:type="spellStart"/>
      <w:r w:rsidRPr="005B1199">
        <w:rPr>
          <w:sz w:val="20"/>
          <w:szCs w:val="20"/>
          <w:lang w:val="de-DE"/>
        </w:rPr>
        <w:t>e-mail</w:t>
      </w:r>
      <w:proofErr w:type="spellEnd"/>
      <w:r w:rsidRPr="005B1199">
        <w:rPr>
          <w:sz w:val="20"/>
          <w:szCs w:val="20"/>
          <w:lang w:val="de-DE"/>
        </w:rPr>
        <w:t xml:space="preserve"> : </w:t>
      </w:r>
      <w:hyperlink r:id="rId14" w:history="1">
        <w:r w:rsidRPr="005B1199">
          <w:rPr>
            <w:rStyle w:val="Hyperlink"/>
            <w:sz w:val="20"/>
            <w:szCs w:val="20"/>
            <w:lang w:val="de-DE"/>
          </w:rPr>
          <w:t>kirsten.ludwig@a1kommunikation.de</w:t>
        </w:r>
      </w:hyperlink>
    </w:p>
    <w:p w14:paraId="0E651E39" w14:textId="77777777" w:rsidR="005B1199" w:rsidRPr="000D0887" w:rsidRDefault="005B1199" w:rsidP="005B1199">
      <w:pPr>
        <w:rPr>
          <w:rFonts w:cs="Arial"/>
          <w:vanish/>
          <w:szCs w:val="20"/>
        </w:rPr>
      </w:pPr>
      <w:r w:rsidRPr="005B1199">
        <w:rPr>
          <w:rFonts w:cs="Arial"/>
          <w:sz w:val="20"/>
          <w:szCs w:val="20"/>
        </w:rPr>
        <w:t>Pour d’autres informations passionnantes, rendez-vous sur notre blog à l’adresse blog.perfectwelding.fronius.com et suivez-nous sur Facebook (</w:t>
      </w:r>
      <w:proofErr w:type="spellStart"/>
      <w:r w:rsidRPr="005B1199">
        <w:rPr>
          <w:rFonts w:cs="Arial"/>
          <w:sz w:val="20"/>
          <w:szCs w:val="20"/>
        </w:rPr>
        <w:t>froniuswelding</w:t>
      </w:r>
      <w:proofErr w:type="spellEnd"/>
      <w:r w:rsidRPr="005B1199">
        <w:rPr>
          <w:rFonts w:cs="Arial"/>
          <w:sz w:val="20"/>
          <w:szCs w:val="20"/>
        </w:rPr>
        <w:t>), Twitter (</w:t>
      </w:r>
      <w:proofErr w:type="spellStart"/>
      <w:r w:rsidRPr="005B1199">
        <w:rPr>
          <w:rFonts w:cs="Arial"/>
          <w:sz w:val="20"/>
          <w:szCs w:val="20"/>
        </w:rPr>
        <w:t>froniusintweld</w:t>
      </w:r>
      <w:proofErr w:type="spellEnd"/>
      <w:r w:rsidRPr="005B1199">
        <w:rPr>
          <w:rFonts w:cs="Arial"/>
          <w:sz w:val="20"/>
          <w:szCs w:val="20"/>
        </w:rPr>
        <w:t>), LinkedIn (</w:t>
      </w:r>
      <w:proofErr w:type="spellStart"/>
      <w:r w:rsidRPr="005B1199">
        <w:rPr>
          <w:rFonts w:cs="Arial"/>
          <w:sz w:val="20"/>
          <w:szCs w:val="20"/>
        </w:rPr>
        <w:t>perfect-welding</w:t>
      </w:r>
      <w:proofErr w:type="spellEnd"/>
      <w:r w:rsidRPr="005B1199">
        <w:rPr>
          <w:rFonts w:cs="Arial"/>
          <w:sz w:val="20"/>
          <w:szCs w:val="20"/>
        </w:rPr>
        <w:t>), Instagram (</w:t>
      </w:r>
      <w:proofErr w:type="spellStart"/>
      <w:r w:rsidRPr="005B1199">
        <w:rPr>
          <w:rFonts w:cs="Arial"/>
          <w:sz w:val="20"/>
          <w:szCs w:val="20"/>
        </w:rPr>
        <w:t>froniuswelding</w:t>
      </w:r>
      <w:proofErr w:type="spellEnd"/>
      <w:r w:rsidRPr="005B1199">
        <w:rPr>
          <w:rFonts w:cs="Arial"/>
          <w:sz w:val="20"/>
          <w:szCs w:val="20"/>
        </w:rPr>
        <w:t>) et YouTube (</w:t>
      </w:r>
      <w:proofErr w:type="spellStart"/>
      <w:proofErr w:type="gramStart"/>
      <w:r w:rsidRPr="005B1199">
        <w:rPr>
          <w:rFonts w:cs="Arial"/>
          <w:sz w:val="20"/>
          <w:szCs w:val="20"/>
        </w:rPr>
        <w:t>froniuswelding</w:t>
      </w:r>
      <w:proofErr w:type="spellEnd"/>
      <w:proofErr w:type="gramEnd"/>
      <w:r w:rsidRPr="005B1199">
        <w:rPr>
          <w:rFonts w:cs="Arial"/>
          <w:sz w:val="20"/>
          <w:szCs w:val="20"/>
        </w:rPr>
        <w:t>) !</w:t>
      </w:r>
      <w:r w:rsidRPr="000D0887">
        <w:rPr>
          <w:rFonts w:cs="Arial"/>
          <w:szCs w:val="20"/>
        </w:rPr>
        <w:t xml:space="preserve"> </w:t>
      </w:r>
      <w:r w:rsidRPr="000D0887">
        <w:rPr>
          <w:rFonts w:cs="Arial"/>
          <w:vanish/>
          <w:szCs w:val="20"/>
        </w:rPr>
        <w:t>Fronius International GmbH</w:t>
      </w:r>
    </w:p>
    <w:p w14:paraId="1EAE7C08" w14:textId="77777777" w:rsidR="005B1199" w:rsidRDefault="005B1199">
      <w:pPr>
        <w:jc w:val="both"/>
      </w:pPr>
    </w:p>
    <w:sectPr w:rsidR="005B1199">
      <w:headerReference w:type="default" r:id="rId15"/>
      <w:footerReference w:type="default" r:id="rId16"/>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Graphique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Textfeld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Classe d’information : publique</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Textfeld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Classe d’information : publique</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9"/>
    <w:rsid w:val="00153E62"/>
    <w:rsid w:val="0018477B"/>
    <w:rsid w:val="001E246D"/>
    <w:rsid w:val="00200AA8"/>
    <w:rsid w:val="00202493"/>
    <w:rsid w:val="00237169"/>
    <w:rsid w:val="002968C9"/>
    <w:rsid w:val="002B5D18"/>
    <w:rsid w:val="00331F38"/>
    <w:rsid w:val="00370A52"/>
    <w:rsid w:val="00375162"/>
    <w:rsid w:val="004B7F42"/>
    <w:rsid w:val="004C3056"/>
    <w:rsid w:val="004D0D77"/>
    <w:rsid w:val="004E21B3"/>
    <w:rsid w:val="004E230C"/>
    <w:rsid w:val="005010EB"/>
    <w:rsid w:val="00555EE0"/>
    <w:rsid w:val="005634D3"/>
    <w:rsid w:val="00570F69"/>
    <w:rsid w:val="00585EEA"/>
    <w:rsid w:val="005B1199"/>
    <w:rsid w:val="005D343B"/>
    <w:rsid w:val="00654255"/>
    <w:rsid w:val="006626BC"/>
    <w:rsid w:val="00762FDD"/>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fr-FR"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fr-FR"/>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fr-FR"/>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fr-FR"/>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5B1199"/>
    <w:rPr>
      <w:color w:val="605E5C"/>
      <w:shd w:val="clear" w:color="auto" w:fill="E1DFDD"/>
    </w:rPr>
  </w:style>
  <w:style w:type="character" w:styleId="BesuchterLink">
    <w:name w:val="FollowedHyperlink"/>
    <w:basedOn w:val="Absatz-Standardschriftart"/>
    <w:uiPriority w:val="99"/>
    <w:semiHidden/>
    <w:unhideWhenUsed/>
    <w:rsid w:val="005B1199"/>
    <w:rPr>
      <w:color w:val="FF00FF" w:themeColor="followedHyperlink"/>
      <w:u w:val="single"/>
    </w:rPr>
  </w:style>
  <w:style w:type="paragraph" w:styleId="KeinLeerraum">
    <w:name w:val="No Spacing"/>
    <w:uiPriority w:val="1"/>
    <w:qFormat/>
    <w:rsid w:val="005B1199"/>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Theme="minorHAnsi" w:hAnsi="Noto Sans" w:cstheme="minorBidi"/>
      <w:sz w:val="22"/>
      <w:szCs w:val="22"/>
      <w:bdr w:val="none" w:sz="0" w:space="0" w:color="auto"/>
      <w:lang w:eastAsia="en-US"/>
    </w:rPr>
  </w:style>
  <w:style w:type="paragraph" w:styleId="Textkrper2">
    <w:name w:val="Body Text 2"/>
    <w:basedOn w:val="Standard"/>
    <w:link w:val="Textkrper2Zchn"/>
    <w:rsid w:val="005B1199"/>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eastAsia="PMingLiU" w:hAnsi="Arial" w:cs="Times New Roman"/>
      <w:color w:val="auto"/>
      <w:sz w:val="20"/>
      <w:szCs w:val="24"/>
      <w:bdr w:val="none" w:sz="0" w:space="0" w:color="auto"/>
      <w:lang w:eastAsia="zh-TW"/>
      <w14:textOutline w14:w="0" w14:cap="rnd" w14:cmpd="sng" w14:algn="ctr">
        <w14:noFill/>
        <w14:prstDash w14:val="solid"/>
        <w14:bevel/>
      </w14:textOutline>
    </w:rPr>
  </w:style>
  <w:style w:type="character" w:customStyle="1" w:styleId="Textkrper2Zchn">
    <w:name w:val="Textkörper 2 Zchn"/>
    <w:basedOn w:val="Absatz-Standardschriftart"/>
    <w:link w:val="Textkrper2"/>
    <w:rsid w:val="005B1199"/>
    <w:rPr>
      <w:rFonts w:ascii="Arial" w:eastAsia="PMingLiU" w:hAnsi="Arial"/>
      <w:szCs w:val="24"/>
      <w:bdr w:val="none" w:sz="0" w:space="0" w:color="auto"/>
      <w:lang w:eastAsia="zh-TW"/>
    </w:rPr>
  </w:style>
  <w:style w:type="paragraph" w:styleId="Textkrper-Zeileneinzug">
    <w:name w:val="Body Text Indent"/>
    <w:basedOn w:val="Standard"/>
    <w:link w:val="Textkrper-ZeileneinzugZchn"/>
    <w:uiPriority w:val="99"/>
    <w:semiHidden/>
    <w:unhideWhenUsed/>
    <w:rsid w:val="005B1199"/>
    <w:pPr>
      <w:pBdr>
        <w:top w:val="none" w:sz="0" w:space="0" w:color="auto"/>
        <w:left w:val="none" w:sz="0" w:space="0" w:color="auto"/>
        <w:bottom w:val="none" w:sz="0" w:space="0" w:color="auto"/>
        <w:right w:val="none" w:sz="0" w:space="0" w:color="auto"/>
        <w:between w:val="none" w:sz="0" w:space="0" w:color="auto"/>
        <w:bar w:val="none" w:sz="0" w:color="auto"/>
      </w:pBdr>
      <w:spacing w:after="120"/>
      <w:ind w:left="283"/>
    </w:pPr>
    <w:rPr>
      <w:rFonts w:eastAsiaTheme="minorHAnsi" w:cstheme="minorBidi"/>
      <w:color w:val="auto"/>
      <w:sz w:val="20"/>
      <w:bdr w:val="none" w:sz="0" w:space="0" w:color="auto"/>
      <w:lang w:eastAsia="en-US"/>
      <w14:textOutline w14:w="0" w14:cap="rnd" w14:cmpd="sng" w14:algn="ctr">
        <w14:noFill/>
        <w14:prstDash w14:val="solid"/>
        <w14:bevel/>
      </w14:textOutline>
    </w:rPr>
  </w:style>
  <w:style w:type="character" w:customStyle="1" w:styleId="Textkrper-ZeileneinzugZchn">
    <w:name w:val="Textkörper-Zeileneinzug Zchn"/>
    <w:basedOn w:val="Absatz-Standardschriftart"/>
    <w:link w:val="Textkrper-Zeileneinzug"/>
    <w:uiPriority w:val="99"/>
    <w:semiHidden/>
    <w:rsid w:val="005B1199"/>
    <w:rPr>
      <w:rFonts w:ascii="Noto Sans" w:eastAsiaTheme="minorHAnsi" w:hAnsi="Noto Sans" w:cstheme="minorBidi"/>
      <w:szCs w:val="22"/>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ndraud.arthy@fronius.com" TargetMode="External"/><Relationship Id="rId18"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customXml" Target="../customXml/item3.xml"/><Relationship Id="rId7" Type="http://schemas.openxmlformats.org/officeDocument/2006/relationships/hyperlink" Target="https://www.fronius.com/fr-fr/france/techniques-de-soudage/centre-d-info/presse" TargetMode="Externa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s://www.fronius.com/fr-fr/france/techniques-de-soudage/information-produit/exento/installations-d-aspiration-exento-highvac-lowvac?filter=4788" TargetMode="External"/><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3.png"/><Relationship Id="rId19"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hyperlink" Target="mailto:kirsten.ludwig@a1kommunikation.de"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Schweißrauchabsaugung Exento</title_TI_DE>
    <title_TI_NO xmlns="dc0c2c3d-e9fc-4a0d-820b-87ab82e65f20">welding fume extraction</title_TI_NO>
    <Documenttype_PT xmlns="dc0c2c3d-e9fc-4a0d-820b-87ab82e65f20">Comunicado à imprensa</Documenttype_PT>
    <Documenttype_RU xmlns="dc0c2c3d-e9fc-4a0d-820b-87ab82e65f20">Пресс-релиз</Documenttype_RU>
    <title_TI_TR xmlns="dc0c2c3d-e9fc-4a0d-820b-87ab82e65f20">welding fume extraction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welding fume extraction</title_TI_TH>
    <Licence_x0020_information xmlns="dc0c2c3d-e9fc-4a0d-820b-87ab82e65f20">(c) Fronius International</Licence_x0020_information>
    <title_TI_EA xmlns="dc0c2c3d-e9fc-4a0d-820b-87ab82e65f20">welding fume extraction</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welding fume extraction</title_TI_DA>
    <Documenttype_TR xmlns="dc0c2c3d-e9fc-4a0d-820b-87ab82e65f20">Basın bülteni</Documenttype_TR>
    <title_TI_PL xmlns="dc0c2c3d-e9fc-4a0d-820b-87ab82e65f20">welding fume extraction</title_TI_PL>
    <Documenttype_TH xmlns="dc0c2c3d-e9fc-4a0d-820b-87ab82e65f20">ข่าวประชาสัมพันธ์</Documenttype_TH>
    <title_TI_EL xmlns="dc0c2c3d-e9fc-4a0d-820b-87ab82e65f20">welding fume extraction</title_TI_EL>
    <Documenttype_EA xmlns="dc0c2c3d-e9fc-4a0d-820b-87ab82e65f20">Press Release</Documenttype_EA>
    <Web_x0020_Display_x0020_Title_x0020_ET xmlns="dc0c2c3d-e9fc-4a0d-820b-87ab82e65f20">welding fume extraction</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welding fume extraction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welding fume extraction</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C-138897</FileMaster>
    <title_TI_NL xmlns="dc0c2c3d-e9fc-4a0d-820b-87ab82e65f20">welding fume extraction</title_TI_NL>
    <contentservId xmlns="53041210-5658-4a0d-8a74-f9413e00f15b">C-138900</contentservId>
    <title_TI_IT xmlns="dc0c2c3d-e9fc-4a0d-820b-87ab82e65f20">welding fume extraction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welding fume extraction</title_TI_UA>
    <title_TI_JP xmlns="dc0c2c3d-e9fc-4a0d-820b-87ab82e65f20">welding fume extraction</title_TI_JP>
    <Documenttype_NL xmlns="dc0c2c3d-e9fc-4a0d-820b-87ab82e65f20">Persbericht</Documenttype_NL>
    <title_TI_RO xmlns="dc0c2c3d-e9fc-4a0d-820b-87ab82e65f20">welding fume extraction</title_TI_RO>
    <Documenttype_NB xmlns="dc0c2c3d-e9fc-4a0d-820b-87ab82e65f20">Presseinformasjon</Documenttype_NB>
    <title_ti_nb xmlns="dc0c2c3d-e9fc-4a0d-820b-87ab82e65f20" xsi:nil="true"/>
    <title_TI_ES xmlns="dc0c2c3d-e9fc-4a0d-820b-87ab82e65f20">welding fume extraction</title_TI_ES>
    <title_TI_JA xmlns="dc0c2c3d-e9fc-4a0d-820b-87ab82e65f20">welding fume extraction</title_TI_JA>
    <TaxCatchAll xmlns="92f60987-cbcc-4245-baaf-239af3bfd6e8">
      <Value>1</Value>
      <Value>261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welding fume extraction</title_TI_EN>
    <MRMKeyWords xmlns="dc0c2c3d-e9fc-4a0d-820b-87ab82e65f20">#Presseinformation#Schweißrauch#Schweissrauchabsaugung#Exento#Schweißrauchabsaugung#Press release#Welding fume#Welding fume extraction#Welding Fume Extraction#presseinformation#pressrelease#schweißrauch#exento#schweißrauchabsaugung#</MRMKeyWords>
    <title_ti_zh xmlns="dc0c2c3d-e9fc-4a0d-820b-87ab82e65f20">welding fume extraction</title_ti_zh>
    <MRMID xmlns="dc0c2c3d-e9fc-4a0d-820b-87ab82e65f20">M-193412</MRMID>
    <Documenttype_UK xmlns="dc0c2c3d-e9fc-4a0d-820b-87ab82e65f20">Прес-релізи</Documenttype_UK>
    <title_TI_SK xmlns="dc0c2c3d-e9fc-4a0d-820b-87ab82e65f20">welding fume extraction</title_TI_SK>
    <Documenttype_UA xmlns="dc0c2c3d-e9fc-4a0d-820b-87ab82e65f20">Прес-релізи</Documenttype_UA>
    <title_TI_HU xmlns="dc0c2c3d-e9fc-4a0d-820b-87ab82e65f20">welding fume extraction</title_TI_HU>
    <Country_x0020_Quick_x0020_Select xmlns="dc0c2c3d-e9fc-4a0d-820b-87ab82e65f20">Select...</Country_x0020_Quick_x0020_Select>
    <title_ti_uk xmlns="dc0c2c3d-e9fc-4a0d-820b-87ab82e65f20" xsi:nil="true"/>
    <title_TI_PT xmlns="dc0c2c3d-e9fc-4a0d-820b-87ab82e65f20">welding fume extraction</title_TI_PT>
    <title_ti_fi xmlns="dc0c2c3d-e9fc-4a0d-820b-87ab82e65f20">welding fume extraction</title_ti_fi>
    <Country xmlns="dc0c2c3d-e9fc-4a0d-820b-87ab82e65f20">
      <Value>7</Value>
      <Value>10</Value>
      <Value>40</Value>
      <Value>17</Value>
    </Country>
    <fro_spid xmlns="dc0c2c3d-e9fc-4a0d-820b-87ab82e65f20">17836;SE</fro_spid>
    <title_TI_RU xmlns="dc0c2c3d-e9fc-4a0d-820b-87ab82e65f20">welding fume extraction</title_TI_RU>
    <Documenttype_JA xmlns="dc0c2c3d-e9fc-4a0d-820b-87ab82e65f20">ニュースリリース</Documenttype_JA>
    <Colour_x0020_space xmlns="dc0c2c3d-e9fc-4a0d-820b-87ab82e65f20" xsi:nil="true"/>
    <title_TI_CS xmlns="dc0c2c3d-e9fc-4a0d-820b-87ab82e65f20">welding fume extraction</title_TI_CS>
    <title_TI_AR xmlns="dc0c2c3d-e9fc-4a0d-820b-87ab82e65f20">welding fume extraction</title_TI_AR>
  </documentManagement>
</p:properties>
</file>

<file path=customXml/itemProps1.xml><?xml version="1.0" encoding="utf-8"?>
<ds:datastoreItem xmlns:ds="http://schemas.openxmlformats.org/officeDocument/2006/customXml" ds:itemID="{857F1351-29C6-482D-8F33-728083DF9ECB}"/>
</file>

<file path=customXml/itemProps2.xml><?xml version="1.0" encoding="utf-8"?>
<ds:datastoreItem xmlns:ds="http://schemas.openxmlformats.org/officeDocument/2006/customXml" ds:itemID="{E6F21887-7641-4AE0-9D9D-366702D06608}"/>
</file>

<file path=customXml/itemProps3.xml><?xml version="1.0" encoding="utf-8"?>
<ds:datastoreItem xmlns:ds="http://schemas.openxmlformats.org/officeDocument/2006/customXml" ds:itemID="{3C75F0EF-782C-4040-89BF-ADC8B61B8182}"/>
</file>

<file path=customXml/itemProps4.xml><?xml version="1.0" encoding="utf-8"?>
<ds:datastoreItem xmlns:ds="http://schemas.openxmlformats.org/officeDocument/2006/customXml" ds:itemID="{AD31484A-82C2-4122-B2C3-0ACFC3520644}"/>
</file>

<file path=customXml/itemProps5.xml><?xml version="1.0" encoding="utf-8"?>
<ds:datastoreItem xmlns:ds="http://schemas.openxmlformats.org/officeDocument/2006/customXml" ds:itemID="{A2EA876B-41E5-48B2-BA98-051BB1F11204}"/>
</file>

<file path=docProps/app.xml><?xml version="1.0" encoding="utf-8"?>
<Properties xmlns="http://schemas.openxmlformats.org/officeDocument/2006/extended-properties" xmlns:vt="http://schemas.openxmlformats.org/officeDocument/2006/docPropsVTypes">
  <Template>Normal.dotm</Template>
  <TotalTime>0</TotalTime>
  <Pages>4</Pages>
  <Words>1236</Words>
  <Characters>7788</Characters>
  <Application>Microsoft Office Word</Application>
  <DocSecurity>0</DocSecurity>
  <Lines>64</Lines>
  <Paragraphs>18</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PW_PR_Exento_FR</dc:title>
  <dc:creator>Aitzetmueller Christian</dc:creator>
  <cp:lastModifiedBy>Pointner Karin</cp:lastModifiedBy>
  <cp:revision>5</cp:revision>
  <cp:lastPrinted>2022-10-24T08:11:00Z</cp:lastPrinted>
  <dcterms:created xsi:type="dcterms:W3CDTF">2022-10-25T08:25:00Z</dcterms:created>
  <dcterms:modified xsi:type="dcterms:W3CDTF">2022-11-15T07:02:00Z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261;##FR|a2603a05-6eff-4a5e-8133-294bf1436696</vt:lpwstr>
  </property>
  <property fmtid="{D5CDD505-2E9C-101B-9397-08002B2CF9AE}" pid="10" name="FroConDoc_language">
    <vt:lpwstr>1;#DE|676160ea-61f7-4cef-8b4c-1724dec2206e</vt:lpwstr>
  </property>
</Properties>
</file>