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Nota de prensa</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714554C7" w14:textId="77777777" w:rsidR="00ED5042" w:rsidRDefault="00B801F9">
      <w:pPr>
        <w:pStyle w:val="HeadlineGreen"/>
        <w:jc w:val="both"/>
        <w:rPr>
          <w:color w:val="000000"/>
          <w:sz w:val="22"/>
          <w:szCs w:val="22"/>
          <w:u w:color="000000"/>
        </w:rPr>
      </w:pPr>
      <w:r>
        <w:rPr>
          <w:color w:val="000000"/>
          <w:sz w:val="22"/>
          <w:u w:color="000000"/>
        </w:rPr>
        <w:t>Aspiración eficaz del humo de soldadura</w:t>
      </w:r>
    </w:p>
    <w:p w14:paraId="0BD259F2" w14:textId="133E9E43" w:rsidR="00ED5042" w:rsidRPr="00141235" w:rsidRDefault="00B801F9" w:rsidP="00141235">
      <w:pPr>
        <w:pStyle w:val="berschrift1"/>
        <w:jc w:val="both"/>
      </w:pPr>
      <w:r w:rsidRPr="00141235">
        <w:t xml:space="preserve">Fronius presenta dos nuevos y potentes sistemas de aspiración y una antorcha de aspiración ergonómica </w:t>
      </w:r>
    </w:p>
    <w:p w14:paraId="1FD151F0" w14:textId="77777777" w:rsidR="00ED5042" w:rsidRDefault="00ED5042">
      <w:pPr>
        <w:rPr>
          <w:sz w:val="20"/>
          <w:szCs w:val="20"/>
        </w:rPr>
      </w:pPr>
    </w:p>
    <w:p w14:paraId="70B4B3DF" w14:textId="27A2E4A5" w:rsidR="000C6FB2" w:rsidRDefault="00B801F9">
      <w:pPr>
        <w:rPr>
          <w:sz w:val="20"/>
          <w:szCs w:val="20"/>
        </w:rPr>
      </w:pPr>
      <w:r>
        <w:rPr>
          <w:sz w:val="24"/>
        </w:rPr>
        <w:t xml:space="preserve">Proporcionar la mayor protección posible contra el humo de soldadura no es solo una cuestión de cumplir con las normas, sino también una forma que tienen las empresas de responsabilizarse de sus soldadores y de todas las personas que trabajan en su entorno inmediato. Por ello, Fronius lanza al mercado la nueva antorcha de aspiración Exento de fácil manejo y dos potentes equipos portátiles de aspiración Exento para garantizar una protección eficaz contra el humo de soldadura. </w:t>
      </w:r>
      <w:r>
        <w:t xml:space="preserve"> </w:t>
      </w:r>
    </w:p>
    <w:p w14:paraId="11751D84" w14:textId="474ECC88" w:rsidR="001E246D" w:rsidRDefault="001E246D" w:rsidP="001E246D">
      <w:pPr>
        <w:rPr>
          <w:sz w:val="20"/>
          <w:szCs w:val="20"/>
        </w:rPr>
      </w:pPr>
      <w:r>
        <w:rPr>
          <w:sz w:val="20"/>
        </w:rPr>
        <w:t xml:space="preserve">Las nuevas soluciones de aspiración son, por un lado, el dúo perfectamente coordinado formado por la ergonómica antorcha de aspiración Exento y el sistema de aspiración de alto vacío compacto y portátil Exento HighVac. Esta combinación demuestra sus puntos fuertes en la soldadura MIG/MAG y absorbe el humo directamente en el punto de origen. El equipo portátil de aspiración de alto vacío Exento HighVac posee un filtro de muy alta calidad que permite eliminar más del 99,9 % de las partículas. </w:t>
      </w:r>
    </w:p>
    <w:p w14:paraId="53A2CC9E" w14:textId="74D8A844" w:rsidR="001E246D" w:rsidRDefault="001E246D">
      <w:pPr>
        <w:rPr>
          <w:sz w:val="20"/>
          <w:szCs w:val="20"/>
        </w:rPr>
      </w:pPr>
      <w:r>
        <w:rPr>
          <w:sz w:val="20"/>
        </w:rPr>
        <w:t xml:space="preserve">Por su parte, el equipo portátil de aspiración de bajo vacío es adecuado para todos los procesos de soldadura habituales, como MIG/MAG, TIG o MMA, y destaca por el diseño adaptado a la corriente de la campana de aspiración, que permite reducir considerablemente el movimiento del brazo de aspiración en comparación con los equipos convencionales. </w:t>
      </w:r>
    </w:p>
    <w:p w14:paraId="31811CC3" w14:textId="1584F8B4" w:rsidR="00ED5042" w:rsidRDefault="00B801F9">
      <w:pPr>
        <w:rPr>
          <w:u w:val="single"/>
        </w:rPr>
      </w:pPr>
      <w:r>
        <w:rPr>
          <w:u w:val="single"/>
        </w:rPr>
        <w:t>La nueva antorcha de aspiración: potente, práctica e individual</w:t>
      </w:r>
    </w:p>
    <w:p w14:paraId="487A752C" w14:textId="5B3BC8F9" w:rsidR="00ED5042" w:rsidRDefault="00B801F9">
      <w:pPr>
        <w:rPr>
          <w:sz w:val="20"/>
          <w:szCs w:val="20"/>
        </w:rPr>
      </w:pPr>
      <w:r>
        <w:rPr>
          <w:sz w:val="20"/>
        </w:rPr>
        <w:t xml:space="preserve">La nueva antorcha de aspiración Exento capta el humo de soldadura de forma precisa en el punto de origen antes de que se propague, cumple con la norma EN ISO 21904-1 y se ha diseñado para que tenga una ergonomía óptima y sea fácil de usar. Por ejemplo, la capacidad de aspiración puede regularse ahora directamente en el mango a través de una válvula de derivación, los insertos de goma garantizan un agarre antideslizante y la iluminación LED de serie resulta muy útil al soldar en zonas oscuras o para el control de calidad. Las tres interfaces de usuario disponibles (pulsador en la parte superior de la antorcha, Up/Down y JobMaster) garantizan un proceso adecuado para cada tipo de soldadura. La articulación esférica, que fija la manguera de protección de cuero de 1,3 m de longitud al mango, proporciona una mayor libertad de movimiento al soldar. </w:t>
      </w:r>
    </w:p>
    <w:p w14:paraId="54B8D86A" w14:textId="77777777" w:rsidR="00141235" w:rsidRDefault="00141235">
      <w:pPr>
        <w:rPr>
          <w:u w:val="single"/>
        </w:rPr>
      </w:pPr>
    </w:p>
    <w:p w14:paraId="5FBB0D18" w14:textId="77777777" w:rsidR="00141235" w:rsidRDefault="00141235">
      <w:pPr>
        <w:rPr>
          <w:u w:val="single"/>
        </w:rPr>
      </w:pPr>
    </w:p>
    <w:p w14:paraId="17074DB0" w14:textId="52534641" w:rsidR="00ED5042" w:rsidRDefault="000E6245">
      <w:pPr>
        <w:rPr>
          <w:u w:val="single"/>
        </w:rPr>
      </w:pPr>
      <w:r>
        <w:rPr>
          <w:u w:val="single"/>
        </w:rPr>
        <w:lastRenderedPageBreak/>
        <w:t>Exento HighVac: aspiración portátil y compacta</w:t>
      </w:r>
    </w:p>
    <w:p w14:paraId="0E3C14CF" w14:textId="7081F4A0" w:rsidR="00ED5042" w:rsidRDefault="00B801F9">
      <w:pPr>
        <w:rPr>
          <w:sz w:val="20"/>
          <w:szCs w:val="20"/>
        </w:rPr>
      </w:pPr>
      <w:r>
        <w:rPr>
          <w:sz w:val="20"/>
        </w:rPr>
        <w:t xml:space="preserve">Este sistema de aspiración de alto vacío demuestra sus puntos fuertes en combinación con la antorcha de aspiración, sobre todo cuando se requiere una potencia constante para eliminar el humo y el polvo. Exento HighVac es un equipo flexible de alta potencia que puede utilizarse allí donde se necesite gracias a su tamaño de solo 60 x 60 cm y un radio de acción de 360 grados. El compresor de canal lateral integrado hace posible que la capacidad de aspiración alcance los 170 m³ por hora, y el cartucho filtrante montado verticalmente garantiza una limpieza muy eficaz. También se ha tenido en cuenta la máxima comodidad de manejo, por ejemplo, con la preselección continua de la potencia de aspiración o el manejo intuitivo con un solo botón, lo que permite seleccionar rápidamente el programa, incluso con guantes.  </w:t>
      </w:r>
    </w:p>
    <w:p w14:paraId="1DEC6FE6" w14:textId="2FB66F41" w:rsidR="00ED5042" w:rsidRDefault="00B801F9">
      <w:pPr>
        <w:rPr>
          <w:sz w:val="20"/>
          <w:szCs w:val="20"/>
        </w:rPr>
      </w:pPr>
      <w:r>
        <w:rPr>
          <w:sz w:val="20"/>
        </w:rPr>
        <w:t xml:space="preserve">La nueva antorcha de aspiración Exento y el equipo de aspiración Exento HighVac se adaptan perfectamente entre sí y ofrecen excelentes resultados. El equipo de alto vacío también puede combinarse con otras antorchas de aspiración. </w:t>
      </w:r>
    </w:p>
    <w:p w14:paraId="128D9AFE" w14:textId="43FA7075" w:rsidR="00ED5042" w:rsidRDefault="00B801F9">
      <w:pPr>
        <w:rPr>
          <w:u w:val="single"/>
        </w:rPr>
      </w:pPr>
      <w:r>
        <w:rPr>
          <w:u w:val="single"/>
        </w:rPr>
        <w:t>Exento LowVac: versatilidad de uso</w:t>
      </w:r>
    </w:p>
    <w:p w14:paraId="5D7FC898" w14:textId="212EA53A" w:rsidR="00ED5042" w:rsidRDefault="00B801F9">
      <w:pPr>
        <w:rPr>
          <w:sz w:val="20"/>
          <w:szCs w:val="20"/>
        </w:rPr>
      </w:pPr>
      <w:r>
        <w:rPr>
          <w:sz w:val="20"/>
        </w:rPr>
        <w:t>Independientemente de si se trata de soldadura MIG/MAG, TIG o MMA, este compacto equipo portátil de aspiración de bajo vacío es adecuado para todos los procesos de soldadura habituales y es la opción ideal cuando no se puede utilizar una antorcha de aspiración. Lo más destacado es la campana de aspiración giratoria de 360 grados con válvula de mariposa, disponible opcionalmente con iluminación LED. Otro elemento destacado es la gran superficie filtrante de 25 m² con filtro desechable, que puede ampliarse a 42 m² en caso necesario. El diseño robusto y estable del equipo Exento LowVac lo convierte en el compañero ideal cuando se realizan cambios frecuentes en el lugar de trabajo. Además, su gran capacidad y la larga vida útil del filtro hacen que sea muy rentable.</w:t>
      </w:r>
    </w:p>
    <w:p w14:paraId="3B9850CE" w14:textId="5ED91364" w:rsidR="00ED5042" w:rsidRDefault="00B801F9">
      <w:pPr>
        <w:rPr>
          <w:sz w:val="20"/>
        </w:rPr>
      </w:pPr>
      <w:r>
        <w:rPr>
          <w:sz w:val="20"/>
        </w:rPr>
        <w:t>Fronius, tu especialista en soldadura, completa su amplia gama de productos de seguridad con los nuevos equipos Exento. Para más información, haz clic en el siguiente enlace</w:t>
      </w:r>
      <w:r w:rsidR="00141235">
        <w:rPr>
          <w:sz w:val="20"/>
        </w:rPr>
        <w:br/>
      </w:r>
      <w:hyperlink r:id="rId6" w:history="1">
        <w:r w:rsidR="00141235" w:rsidRPr="00106608">
          <w:rPr>
            <w:rStyle w:val="Hyperlink"/>
            <w:sz w:val="20"/>
          </w:rPr>
          <w:t>https://www.fronius.com/</w:t>
        </w:r>
        <w:r w:rsidR="00141235" w:rsidRPr="00106608">
          <w:rPr>
            <w:rStyle w:val="Hyperlink"/>
            <w:sz w:val="20"/>
          </w:rPr>
          <w:t>e</w:t>
        </w:r>
        <w:r w:rsidR="00141235" w:rsidRPr="00106608">
          <w:rPr>
            <w:rStyle w:val="Hyperlink"/>
            <w:sz w:val="20"/>
          </w:rPr>
          <w:t>s-es/spain/tecnologia-de-soldadura/informacion-del-producto/exento/exento-absauganlagen-highvac-lowvac?referer=productos</w:t>
        </w:r>
      </w:hyperlink>
    </w:p>
    <w:p w14:paraId="6663EF60" w14:textId="77777777" w:rsidR="00141235" w:rsidRDefault="00141235" w:rsidP="00141235">
      <w:pPr>
        <w:pStyle w:val="StandardWeb"/>
        <w:spacing w:before="0" w:beforeAutospacing="0" w:after="160" w:afterAutospacing="0"/>
        <w:rPr>
          <w:rFonts w:ascii="Noto Sans" w:hAnsi="Noto Sans" w:cs="Noto Sans"/>
          <w:sz w:val="20"/>
          <w:szCs w:val="20"/>
          <w:lang w:val="en-US"/>
        </w:rPr>
      </w:pPr>
    </w:p>
    <w:p w14:paraId="3F3A69DD" w14:textId="3783BF15" w:rsidR="00141235" w:rsidRDefault="00141235" w:rsidP="00141235">
      <w:pPr>
        <w:pStyle w:val="StandardWeb"/>
        <w:spacing w:before="0" w:beforeAutospacing="0" w:after="160" w:afterAutospacing="0"/>
        <w:rPr>
          <w:rFonts w:ascii="Noto Sans" w:hAnsi="Noto Sans" w:cs="Noto Sans"/>
          <w:sz w:val="20"/>
          <w:szCs w:val="20"/>
          <w:lang w:val="en-US"/>
        </w:rPr>
      </w:pPr>
      <w:r>
        <w:rPr>
          <w:rFonts w:ascii="Noto Sans" w:hAnsi="Noto Sans" w:cs="Noto Sans"/>
          <w:sz w:val="20"/>
          <w:szCs w:val="20"/>
          <w:lang w:val="en-US"/>
        </w:rPr>
        <w:t>4.603</w:t>
      </w:r>
      <w:r w:rsidRPr="006158A3">
        <w:rPr>
          <w:rFonts w:ascii="Noto Sans" w:hAnsi="Noto Sans" w:cs="Noto Sans"/>
          <w:sz w:val="20"/>
          <w:szCs w:val="20"/>
          <w:lang w:val="en-US"/>
        </w:rPr>
        <w:t xml:space="preserve"> </w:t>
      </w:r>
      <w:proofErr w:type="spellStart"/>
      <w:r w:rsidRPr="006158A3">
        <w:rPr>
          <w:rFonts w:ascii="Noto Sans" w:hAnsi="Noto Sans" w:cs="Noto Sans"/>
          <w:sz w:val="20"/>
          <w:szCs w:val="20"/>
          <w:lang w:val="en-US"/>
        </w:rPr>
        <w:t>caracteres</w:t>
      </w:r>
      <w:proofErr w:type="spellEnd"/>
      <w:r w:rsidRPr="006158A3">
        <w:rPr>
          <w:rFonts w:ascii="Noto Sans" w:hAnsi="Noto Sans" w:cs="Noto Sans"/>
          <w:sz w:val="20"/>
          <w:szCs w:val="20"/>
          <w:lang w:val="en-US"/>
        </w:rPr>
        <w:t xml:space="preserve"> </w:t>
      </w:r>
      <w:proofErr w:type="spellStart"/>
      <w:r w:rsidRPr="006158A3">
        <w:rPr>
          <w:rFonts w:ascii="Noto Sans" w:hAnsi="Noto Sans" w:cs="Noto Sans"/>
          <w:sz w:val="20"/>
          <w:szCs w:val="20"/>
          <w:lang w:val="en-US"/>
        </w:rPr>
        <w:t>incluidos</w:t>
      </w:r>
      <w:proofErr w:type="spellEnd"/>
      <w:r w:rsidRPr="006158A3">
        <w:rPr>
          <w:rFonts w:ascii="Noto Sans" w:hAnsi="Noto Sans" w:cs="Noto Sans"/>
          <w:sz w:val="20"/>
          <w:szCs w:val="20"/>
          <w:lang w:val="en-US"/>
        </w:rPr>
        <w:t xml:space="preserve"> </w:t>
      </w:r>
      <w:proofErr w:type="spellStart"/>
      <w:r w:rsidRPr="006158A3">
        <w:rPr>
          <w:rFonts w:ascii="Noto Sans" w:hAnsi="Noto Sans" w:cs="Noto Sans"/>
          <w:sz w:val="20"/>
          <w:szCs w:val="20"/>
          <w:lang w:val="en-US"/>
        </w:rPr>
        <w:t>espacios</w:t>
      </w:r>
      <w:proofErr w:type="spellEnd"/>
    </w:p>
    <w:p w14:paraId="54465E45" w14:textId="2A9B6E82" w:rsidR="00141235" w:rsidRDefault="00141235" w:rsidP="00141235">
      <w:pPr>
        <w:pStyle w:val="StandardWeb"/>
        <w:spacing w:before="0" w:beforeAutospacing="0" w:after="160" w:afterAutospacing="0"/>
        <w:rPr>
          <w:rFonts w:ascii="Noto Sans" w:hAnsi="Noto Sans" w:cs="Noto Sans"/>
          <w:sz w:val="20"/>
          <w:szCs w:val="20"/>
          <w:lang w:val="en-US"/>
        </w:rPr>
      </w:pPr>
    </w:p>
    <w:p w14:paraId="08B15C98" w14:textId="77777777" w:rsidR="00141235" w:rsidRPr="00141235" w:rsidRDefault="00141235" w:rsidP="00141235">
      <w:pPr>
        <w:rPr>
          <w:rFonts w:cs="Arial"/>
          <w:sz w:val="20"/>
          <w:szCs w:val="20"/>
        </w:rPr>
      </w:pPr>
      <w:r w:rsidRPr="00141235">
        <w:rPr>
          <w:rFonts w:cs="Arial"/>
          <w:sz w:val="20"/>
          <w:szCs w:val="20"/>
        </w:rPr>
        <w:t>Imágenes de alta resolución están disponibles para descargar del siguiente enlace:</w:t>
      </w:r>
      <w:r w:rsidRPr="00141235">
        <w:rPr>
          <w:rFonts w:cs="Arial"/>
          <w:sz w:val="20"/>
          <w:szCs w:val="20"/>
        </w:rPr>
        <w:br/>
      </w:r>
      <w:r w:rsidRPr="00141235">
        <w:rPr>
          <w:sz w:val="20"/>
          <w:szCs w:val="20"/>
        </w:rPr>
        <w:fldChar w:fldCharType="begin"/>
      </w:r>
      <w:r w:rsidRPr="00141235">
        <w:rPr>
          <w:sz w:val="20"/>
          <w:szCs w:val="20"/>
        </w:rPr>
        <w:instrText xml:space="preserve"> HYPERLINK "https://www.fronius.com/es-es/spain/tecnologia-de-soldadura/centro-de-informacion/prensa" </w:instrText>
      </w:r>
      <w:r w:rsidRPr="00141235">
        <w:rPr>
          <w:sz w:val="20"/>
          <w:szCs w:val="20"/>
        </w:rPr>
        <w:fldChar w:fldCharType="separate"/>
      </w:r>
      <w:r w:rsidRPr="00141235">
        <w:rPr>
          <w:rStyle w:val="Hyperlink"/>
          <w:sz w:val="20"/>
          <w:szCs w:val="20"/>
        </w:rPr>
        <w:t>https://www.fronius.com/es-es/spain/t</w:t>
      </w:r>
      <w:r w:rsidRPr="00141235">
        <w:rPr>
          <w:rStyle w:val="Hyperlink"/>
          <w:sz w:val="20"/>
          <w:szCs w:val="20"/>
        </w:rPr>
        <w:t>e</w:t>
      </w:r>
      <w:r w:rsidRPr="00141235">
        <w:rPr>
          <w:rStyle w:val="Hyperlink"/>
          <w:sz w:val="20"/>
          <w:szCs w:val="20"/>
        </w:rPr>
        <w:t>cnologia-de-soldadura/centro-de-informacion/prensa</w:t>
      </w:r>
      <w:r w:rsidRPr="00141235">
        <w:rPr>
          <w:rStyle w:val="Hyperlink"/>
          <w:sz w:val="20"/>
          <w:szCs w:val="20"/>
        </w:rPr>
        <w:fldChar w:fldCharType="end"/>
      </w:r>
    </w:p>
    <w:p w14:paraId="27EB4B38" w14:textId="77777777" w:rsidR="00141235" w:rsidRPr="00840713" w:rsidRDefault="00141235" w:rsidP="00141235">
      <w:pPr>
        <w:pStyle w:val="StandardWeb"/>
        <w:spacing w:before="0" w:beforeAutospacing="0" w:after="160" w:afterAutospacing="0"/>
        <w:rPr>
          <w:rFonts w:ascii="Noto Sans" w:hAnsi="Noto Sans" w:cs="Noto Sans"/>
          <w:sz w:val="20"/>
          <w:szCs w:val="20"/>
          <w:lang w:val="en-US"/>
        </w:rPr>
      </w:pPr>
    </w:p>
    <w:p w14:paraId="77D30686" w14:textId="77777777" w:rsidR="00141235" w:rsidRDefault="00141235">
      <w:pPr>
        <w:rPr>
          <w:sz w:val="20"/>
          <w:szCs w:val="20"/>
        </w:rPr>
      </w:pPr>
    </w:p>
    <w:p w14:paraId="26A651CD" w14:textId="77777777" w:rsidR="006626BC" w:rsidRDefault="006626BC"/>
    <w:p w14:paraId="3F1A0325" w14:textId="48BAD28F" w:rsidR="006626BC" w:rsidRDefault="006626BC" w:rsidP="006626BC"/>
    <w:p w14:paraId="422CA1E6" w14:textId="1AEB6A12" w:rsidR="006626BC" w:rsidRDefault="006626BC" w:rsidP="006626BC"/>
    <w:p w14:paraId="5450EA43" w14:textId="77777777" w:rsidR="006626BC" w:rsidRPr="006626BC" w:rsidRDefault="006626BC" w:rsidP="006626BC"/>
    <w:p w14:paraId="37EB0285" w14:textId="77777777" w:rsidR="00141235" w:rsidRDefault="00141235">
      <w:pPr>
        <w:pStyle w:val="berschrift4"/>
        <w:jc w:val="both"/>
        <w:rPr>
          <w:sz w:val="20"/>
        </w:rPr>
      </w:pPr>
    </w:p>
    <w:p w14:paraId="3631D22A" w14:textId="77777777" w:rsidR="00141235" w:rsidRDefault="00141235">
      <w:pPr>
        <w:pStyle w:val="berschrift4"/>
        <w:jc w:val="both"/>
        <w:rPr>
          <w:sz w:val="20"/>
        </w:rPr>
      </w:pPr>
    </w:p>
    <w:p w14:paraId="54C0DAF4" w14:textId="4DCC6B01" w:rsidR="00ED5042" w:rsidRDefault="00B801F9">
      <w:pPr>
        <w:pStyle w:val="berschrift4"/>
        <w:jc w:val="both"/>
        <w:rPr>
          <w:sz w:val="20"/>
          <w:szCs w:val="20"/>
        </w:rPr>
      </w:pPr>
      <w:r>
        <w:rPr>
          <w:sz w:val="20"/>
        </w:rPr>
        <w:t>Sinopsis del material gráfico</w:t>
      </w:r>
    </w:p>
    <w:p w14:paraId="5A95C95D" w14:textId="77777777" w:rsidR="004C3056" w:rsidRPr="004C3056" w:rsidRDefault="004C3056" w:rsidP="0018477B"/>
    <w:p w14:paraId="059CB49A" w14:textId="0CC3DFF9" w:rsidR="00ED5042" w:rsidRDefault="00B801F9">
      <w:pPr>
        <w:rPr>
          <w:sz w:val="18"/>
          <w:szCs w:val="18"/>
        </w:rPr>
      </w:pPr>
      <w:r>
        <w:rPr>
          <w:sz w:val="18"/>
        </w:rPr>
        <w:t xml:space="preserve">El humo de soldadura puede provocar graves daños a la salud de forma permanente. Los sistemas de aspiración potentes como Exento HighVac de Fronius protegen </w:t>
      </w:r>
      <w:r>
        <w:rPr>
          <w:noProof/>
        </w:rPr>
        <w:drawing>
          <wp:anchor distT="57150" distB="57150" distL="57150" distR="57150" simplePos="0" relativeHeight="251662336" behindDoc="0" locked="0" layoutInCell="1" allowOverlap="1" wp14:anchorId="5828A098" wp14:editId="0F8F47FB">
            <wp:simplePos x="0" y="0"/>
            <wp:positionH relativeFrom="column">
              <wp:posOffset>-51435</wp:posOffset>
            </wp:positionH>
            <wp:positionV relativeFrom="line">
              <wp:posOffset>-215900</wp:posOffset>
            </wp:positionV>
            <wp:extent cx="2602230" cy="1734820"/>
            <wp:effectExtent l="0" t="0" r="0" b="0"/>
            <wp:wrapThrough wrapText="bothSides" distL="57150" distR="57150">
              <wp:wrapPolygon edited="1">
                <wp:start x="0" y="0"/>
                <wp:lineTo x="21600" y="0"/>
                <wp:lineTo x="21600" y="21600"/>
                <wp:lineTo x="0" y="21600"/>
                <wp:lineTo x="0" y="0"/>
              </wp:wrapPolygon>
            </wp:wrapThrough>
            <wp:docPr id="1073741827" name="officeArt object" descr="Gráfico 3"/>
            <wp:cNvGraphicFramePr/>
            <a:graphic xmlns:a="http://schemas.openxmlformats.org/drawingml/2006/main">
              <a:graphicData uri="http://schemas.openxmlformats.org/drawingml/2006/picture">
                <pic:pic xmlns:pic="http://schemas.openxmlformats.org/drawingml/2006/picture">
                  <pic:nvPicPr>
                    <pic:cNvPr id="1073741827" name="Grafik 3" descr="Grafik 3"/>
                    <pic:cNvPicPr>
                      <a:picLocks noChangeAspect="1"/>
                    </pic:cNvPicPr>
                  </pic:nvPicPr>
                  <pic:blipFill>
                    <a:blip r:embed="rId7"/>
                    <a:stretch>
                      <a:fillRect/>
                    </a:stretch>
                  </pic:blipFill>
                  <pic:spPr>
                    <a:xfrm>
                      <a:off x="0" y="0"/>
                      <a:ext cx="2602230" cy="1734820"/>
                    </a:xfrm>
                    <a:prstGeom prst="rect">
                      <a:avLst/>
                    </a:prstGeom>
                    <a:ln w="12700" cap="flat">
                      <a:noFill/>
                      <a:miter lim="400000"/>
                    </a:ln>
                    <a:effectLst/>
                  </pic:spPr>
                </pic:pic>
              </a:graphicData>
            </a:graphic>
          </wp:anchor>
        </w:drawing>
      </w:r>
      <w:r>
        <w:rPr>
          <w:sz w:val="18"/>
        </w:rPr>
        <w:t xml:space="preserve">tanto a los soldadores como a las personas de su entorno. </w:t>
      </w:r>
    </w:p>
    <w:p w14:paraId="67C926B3" w14:textId="77777777" w:rsidR="00ED5042" w:rsidRDefault="00ED5042">
      <w:pPr>
        <w:rPr>
          <w:sz w:val="18"/>
          <w:szCs w:val="18"/>
        </w:rPr>
      </w:pPr>
    </w:p>
    <w:p w14:paraId="2ADE880E" w14:textId="77777777" w:rsidR="00ED5042" w:rsidRDefault="00ED5042">
      <w:pPr>
        <w:rPr>
          <w:sz w:val="18"/>
          <w:szCs w:val="18"/>
        </w:rPr>
      </w:pPr>
    </w:p>
    <w:p w14:paraId="3616518F" w14:textId="77777777" w:rsidR="00ED5042" w:rsidRDefault="00ED5042">
      <w:pPr>
        <w:rPr>
          <w:sz w:val="18"/>
          <w:szCs w:val="18"/>
        </w:rPr>
      </w:pPr>
    </w:p>
    <w:p w14:paraId="1143B7F0" w14:textId="77777777" w:rsidR="00ED5042" w:rsidRDefault="00B801F9">
      <w:pPr>
        <w:rPr>
          <w:sz w:val="18"/>
          <w:szCs w:val="18"/>
        </w:rPr>
      </w:pPr>
      <w:r>
        <w:rPr>
          <w:noProof/>
          <w:sz w:val="18"/>
        </w:rPr>
        <w:drawing>
          <wp:anchor distT="57150" distB="57150" distL="57150" distR="57150" simplePos="0" relativeHeight="251659264" behindDoc="0" locked="0" layoutInCell="1" allowOverlap="1" wp14:anchorId="55F2195F" wp14:editId="43C4382A">
            <wp:simplePos x="0" y="0"/>
            <wp:positionH relativeFrom="column">
              <wp:posOffset>-99694</wp:posOffset>
            </wp:positionH>
            <wp:positionV relativeFrom="line">
              <wp:posOffset>186689</wp:posOffset>
            </wp:positionV>
            <wp:extent cx="2189480" cy="2266950"/>
            <wp:effectExtent l="0" t="0" r="0" b="0"/>
            <wp:wrapThrough wrapText="bothSides" distL="57150" distR="57150">
              <wp:wrapPolygon edited="1">
                <wp:start x="0" y="0"/>
                <wp:lineTo x="0" y="21600"/>
                <wp:lineTo x="21601" y="21600"/>
                <wp:lineTo x="21601" y="0"/>
                <wp:lineTo x="0" y="0"/>
              </wp:wrapPolygon>
            </wp:wrapThrough>
            <wp:docPr id="1073741828" name="officeArt object" descr="Gráfico 7"/>
            <wp:cNvGraphicFramePr/>
            <a:graphic xmlns:a="http://schemas.openxmlformats.org/drawingml/2006/main">
              <a:graphicData uri="http://schemas.openxmlformats.org/drawingml/2006/picture">
                <pic:pic xmlns:pic="http://schemas.openxmlformats.org/drawingml/2006/picture">
                  <pic:nvPicPr>
                    <pic:cNvPr id="1073741828" name="Grafik 7" descr="Grafik 7"/>
                    <pic:cNvPicPr>
                      <a:picLocks noChangeAspect="1"/>
                    </pic:cNvPicPr>
                  </pic:nvPicPr>
                  <pic:blipFill>
                    <a:blip r:embed="rId8"/>
                    <a:srcRect t="17268" b="5174"/>
                    <a:stretch>
                      <a:fillRect/>
                    </a:stretch>
                  </pic:blipFill>
                  <pic:spPr>
                    <a:xfrm>
                      <a:off x="0" y="0"/>
                      <a:ext cx="2189480" cy="2266950"/>
                    </a:xfrm>
                    <a:prstGeom prst="rect">
                      <a:avLst/>
                    </a:prstGeom>
                    <a:ln w="12700" cap="flat">
                      <a:noFill/>
                      <a:miter lim="400000"/>
                    </a:ln>
                    <a:effectLst/>
                  </pic:spPr>
                </pic:pic>
              </a:graphicData>
            </a:graphic>
          </wp:anchor>
        </w:drawing>
      </w:r>
    </w:p>
    <w:p w14:paraId="6DF4359F" w14:textId="77777777" w:rsidR="00ED5042" w:rsidRDefault="00B801F9">
      <w:pPr>
        <w:rPr>
          <w:sz w:val="18"/>
          <w:szCs w:val="18"/>
        </w:rPr>
      </w:pPr>
      <w:r>
        <w:rPr>
          <w:sz w:val="18"/>
        </w:rPr>
        <w:t xml:space="preserve">Dúo perfecto y un solo proveedor: equipo de aspiración de alto vacío Exento HighVac y antorcha ergonómica de aspiración Exento. </w:t>
      </w:r>
    </w:p>
    <w:p w14:paraId="4CBA00E2" w14:textId="77777777" w:rsidR="00ED5042" w:rsidRDefault="00ED5042">
      <w:pPr>
        <w:rPr>
          <w:sz w:val="18"/>
          <w:szCs w:val="18"/>
        </w:rPr>
      </w:pPr>
    </w:p>
    <w:p w14:paraId="16C0BC24" w14:textId="77777777" w:rsidR="00ED5042" w:rsidRDefault="00ED5042">
      <w:pPr>
        <w:rPr>
          <w:sz w:val="18"/>
          <w:szCs w:val="18"/>
        </w:rPr>
      </w:pPr>
    </w:p>
    <w:p w14:paraId="7AFE62FA" w14:textId="77777777" w:rsidR="00ED5042" w:rsidRDefault="00ED5042">
      <w:pPr>
        <w:rPr>
          <w:sz w:val="18"/>
          <w:szCs w:val="18"/>
        </w:rPr>
      </w:pPr>
    </w:p>
    <w:p w14:paraId="0C280FFA" w14:textId="77777777" w:rsidR="00ED5042" w:rsidRDefault="00ED5042">
      <w:pPr>
        <w:rPr>
          <w:sz w:val="18"/>
          <w:szCs w:val="18"/>
        </w:rPr>
      </w:pPr>
    </w:p>
    <w:p w14:paraId="77F9A6BC" w14:textId="77777777" w:rsidR="00ED5042" w:rsidRDefault="00ED5042">
      <w:pPr>
        <w:rPr>
          <w:sz w:val="18"/>
          <w:szCs w:val="18"/>
        </w:rPr>
      </w:pPr>
    </w:p>
    <w:p w14:paraId="3F7E6DFD" w14:textId="77777777" w:rsidR="00ED5042" w:rsidRDefault="00ED5042">
      <w:pPr>
        <w:rPr>
          <w:sz w:val="18"/>
          <w:szCs w:val="18"/>
        </w:rPr>
      </w:pPr>
    </w:p>
    <w:p w14:paraId="704E47C4" w14:textId="77777777" w:rsidR="00ED5042" w:rsidRDefault="00B801F9">
      <w:pPr>
        <w:jc w:val="both"/>
        <w:rPr>
          <w:sz w:val="20"/>
          <w:szCs w:val="20"/>
        </w:rPr>
      </w:pPr>
      <w:r>
        <w:rPr>
          <w:noProof/>
        </w:rPr>
        <w:drawing>
          <wp:anchor distT="57150" distB="57150" distL="57150" distR="57150" simplePos="0" relativeHeight="251660288" behindDoc="0" locked="0" layoutInCell="1" allowOverlap="1" wp14:anchorId="59AB7740" wp14:editId="220AC3D8">
            <wp:simplePos x="0" y="0"/>
            <wp:positionH relativeFrom="column">
              <wp:posOffset>-99694</wp:posOffset>
            </wp:positionH>
            <wp:positionV relativeFrom="line">
              <wp:posOffset>123825</wp:posOffset>
            </wp:positionV>
            <wp:extent cx="2167200" cy="1782000"/>
            <wp:effectExtent l="0" t="0" r="0" b="0"/>
            <wp:wrapThrough wrapText="bothSides" distL="57150" distR="57150">
              <wp:wrapPolygon edited="1">
                <wp:start x="0" y="0"/>
                <wp:lineTo x="21600" y="0"/>
                <wp:lineTo x="21600" y="21600"/>
                <wp:lineTo x="0" y="21600"/>
                <wp:lineTo x="0" y="0"/>
              </wp:wrapPolygon>
            </wp:wrapThrough>
            <wp:docPr id="1073741829" name="officeArt object" descr="Gráfico 4"/>
            <wp:cNvGraphicFramePr/>
            <a:graphic xmlns:a="http://schemas.openxmlformats.org/drawingml/2006/main">
              <a:graphicData uri="http://schemas.openxmlformats.org/drawingml/2006/picture">
                <pic:pic xmlns:pic="http://schemas.openxmlformats.org/drawingml/2006/picture">
                  <pic:nvPicPr>
                    <pic:cNvPr id="1073741829" name="Grafik 4" descr="Grafik 4"/>
                    <pic:cNvPicPr>
                      <a:picLocks noChangeAspect="1"/>
                    </pic:cNvPicPr>
                  </pic:nvPicPr>
                  <pic:blipFill>
                    <a:blip r:embed="rId9"/>
                    <a:stretch>
                      <a:fillRect/>
                    </a:stretch>
                  </pic:blipFill>
                  <pic:spPr>
                    <a:xfrm>
                      <a:off x="0" y="0"/>
                      <a:ext cx="2167200" cy="1782000"/>
                    </a:xfrm>
                    <a:prstGeom prst="rect">
                      <a:avLst/>
                    </a:prstGeom>
                    <a:ln w="12700" cap="flat">
                      <a:noFill/>
                      <a:miter lim="400000"/>
                    </a:ln>
                    <a:effectLst/>
                  </pic:spPr>
                </pic:pic>
              </a:graphicData>
            </a:graphic>
          </wp:anchor>
        </w:drawing>
      </w:r>
    </w:p>
    <w:p w14:paraId="062427A3" w14:textId="0E33C327" w:rsidR="00ED5042" w:rsidRDefault="00B801F9">
      <w:pPr>
        <w:rPr>
          <w:sz w:val="18"/>
          <w:szCs w:val="18"/>
        </w:rPr>
      </w:pPr>
      <w:r>
        <w:rPr>
          <w:sz w:val="18"/>
        </w:rPr>
        <w:t xml:space="preserve">La antorcha ergonómica de aspiración Exento se adapta cómodamente a la mano y, gracias a la válvula de derivación, permite regular la potencia de aspiración en el mango. Se puede adquirir bajo demanda con las interfaces de usuario JobMaster, Up/Down y pulsador en la parte superior de la antorcha. </w:t>
      </w:r>
    </w:p>
    <w:p w14:paraId="16F91252" w14:textId="77777777" w:rsidR="00ED5042" w:rsidRDefault="00ED5042">
      <w:pPr>
        <w:rPr>
          <w:sz w:val="18"/>
          <w:szCs w:val="18"/>
        </w:rPr>
      </w:pPr>
    </w:p>
    <w:p w14:paraId="6C408BE8" w14:textId="77777777" w:rsidR="00ED5042" w:rsidRDefault="00ED5042">
      <w:pPr>
        <w:rPr>
          <w:sz w:val="18"/>
          <w:szCs w:val="18"/>
        </w:rPr>
      </w:pPr>
    </w:p>
    <w:p w14:paraId="0344455C" w14:textId="77777777" w:rsidR="00ED5042" w:rsidRDefault="00ED5042">
      <w:pPr>
        <w:rPr>
          <w:sz w:val="18"/>
          <w:szCs w:val="18"/>
        </w:rPr>
      </w:pPr>
    </w:p>
    <w:p w14:paraId="6D259A7C" w14:textId="77777777" w:rsidR="00ED5042" w:rsidRDefault="00B801F9">
      <w:pPr>
        <w:rPr>
          <w:sz w:val="18"/>
          <w:szCs w:val="18"/>
        </w:rPr>
      </w:pPr>
      <w:r>
        <w:rPr>
          <w:noProof/>
        </w:rPr>
        <w:drawing>
          <wp:anchor distT="57150" distB="57150" distL="57150" distR="57150" simplePos="0" relativeHeight="251661312" behindDoc="0" locked="0" layoutInCell="1" allowOverlap="1" wp14:anchorId="1207F709" wp14:editId="569CC546">
            <wp:simplePos x="0" y="0"/>
            <wp:positionH relativeFrom="column">
              <wp:posOffset>-4444</wp:posOffset>
            </wp:positionH>
            <wp:positionV relativeFrom="line">
              <wp:posOffset>270509</wp:posOffset>
            </wp:positionV>
            <wp:extent cx="2862580" cy="1905000"/>
            <wp:effectExtent l="0" t="0" r="0" b="0"/>
            <wp:wrapThrough wrapText="bothSides" distL="57150" distR="57150">
              <wp:wrapPolygon edited="1">
                <wp:start x="0" y="0"/>
                <wp:lineTo x="21600" y="0"/>
                <wp:lineTo x="21600" y="21600"/>
                <wp:lineTo x="0" y="21600"/>
                <wp:lineTo x="0" y="0"/>
              </wp:wrapPolygon>
            </wp:wrapThrough>
            <wp:docPr id="1073741830" name="officeArt object" descr="Gráfico 2"/>
            <wp:cNvGraphicFramePr/>
            <a:graphic xmlns:a="http://schemas.openxmlformats.org/drawingml/2006/main">
              <a:graphicData uri="http://schemas.openxmlformats.org/drawingml/2006/picture">
                <pic:pic xmlns:pic="http://schemas.openxmlformats.org/drawingml/2006/picture">
                  <pic:nvPicPr>
                    <pic:cNvPr id="1073741830" name="Grafik 2" descr="Grafik 2"/>
                    <pic:cNvPicPr>
                      <a:picLocks noChangeAspect="1"/>
                    </pic:cNvPicPr>
                  </pic:nvPicPr>
                  <pic:blipFill>
                    <a:blip r:embed="rId10"/>
                    <a:stretch>
                      <a:fillRect/>
                    </a:stretch>
                  </pic:blipFill>
                  <pic:spPr>
                    <a:xfrm>
                      <a:off x="0" y="0"/>
                      <a:ext cx="2862580" cy="1905000"/>
                    </a:xfrm>
                    <a:prstGeom prst="rect">
                      <a:avLst/>
                    </a:prstGeom>
                    <a:ln w="12700" cap="flat">
                      <a:noFill/>
                      <a:miter lim="400000"/>
                    </a:ln>
                    <a:effectLst/>
                  </pic:spPr>
                </pic:pic>
              </a:graphicData>
            </a:graphic>
          </wp:anchor>
        </w:drawing>
      </w:r>
    </w:p>
    <w:p w14:paraId="56A46C80" w14:textId="7DB38A1F" w:rsidR="00ED5042" w:rsidRDefault="00B801F9">
      <w:pPr>
        <w:rPr>
          <w:sz w:val="18"/>
          <w:szCs w:val="18"/>
        </w:rPr>
      </w:pPr>
      <w:r>
        <w:rPr>
          <w:sz w:val="18"/>
        </w:rPr>
        <w:t xml:space="preserve">El potente sistema de aspiración Exento LowVac con brazo de aspiración flexible destaca por abarcar una gran superficie. </w:t>
      </w:r>
    </w:p>
    <w:p w14:paraId="38E0AB53" w14:textId="77777777" w:rsidR="00ED5042" w:rsidRDefault="00ED5042">
      <w:pPr>
        <w:rPr>
          <w:sz w:val="18"/>
          <w:szCs w:val="18"/>
        </w:rPr>
      </w:pPr>
    </w:p>
    <w:p w14:paraId="1E196DCA" w14:textId="77777777" w:rsidR="00ED5042" w:rsidRDefault="00ED5042">
      <w:pPr>
        <w:rPr>
          <w:sz w:val="18"/>
          <w:szCs w:val="18"/>
        </w:rPr>
      </w:pPr>
    </w:p>
    <w:p w14:paraId="5095A1AB" w14:textId="77777777" w:rsidR="00ED5042" w:rsidRDefault="00ED5042">
      <w:pPr>
        <w:rPr>
          <w:sz w:val="18"/>
          <w:szCs w:val="18"/>
        </w:rPr>
      </w:pPr>
    </w:p>
    <w:p w14:paraId="1767FB4F" w14:textId="77777777" w:rsidR="00ED5042" w:rsidRDefault="00ED5042">
      <w:pPr>
        <w:jc w:val="both"/>
        <w:rPr>
          <w:sz w:val="18"/>
          <w:szCs w:val="18"/>
        </w:rPr>
      </w:pPr>
    </w:p>
    <w:p w14:paraId="0B20C58B" w14:textId="77777777" w:rsidR="00ED5042" w:rsidRDefault="00ED5042">
      <w:pPr>
        <w:jc w:val="both"/>
        <w:rPr>
          <w:sz w:val="18"/>
          <w:szCs w:val="18"/>
        </w:rPr>
      </w:pPr>
    </w:p>
    <w:p w14:paraId="03470FAF" w14:textId="77777777" w:rsidR="00ED5042" w:rsidRDefault="00B801F9">
      <w:pPr>
        <w:rPr>
          <w:sz w:val="18"/>
          <w:szCs w:val="18"/>
        </w:rPr>
      </w:pPr>
      <w:r>
        <w:rPr>
          <w:noProof/>
        </w:rPr>
        <w:lastRenderedPageBreak/>
        <w:drawing>
          <wp:anchor distT="57150" distB="57150" distL="57150" distR="57150" simplePos="0" relativeHeight="251663360" behindDoc="0" locked="0" layoutInCell="1" allowOverlap="1" wp14:anchorId="5748E053" wp14:editId="21D2BE73">
            <wp:simplePos x="0" y="0"/>
            <wp:positionH relativeFrom="column">
              <wp:posOffset>-4444</wp:posOffset>
            </wp:positionH>
            <wp:positionV relativeFrom="line">
              <wp:posOffset>3810</wp:posOffset>
            </wp:positionV>
            <wp:extent cx="2876401" cy="1929601"/>
            <wp:effectExtent l="0" t="0" r="0" b="0"/>
            <wp:wrapThrough wrapText="bothSides" distL="57150" distR="57150">
              <wp:wrapPolygon edited="1">
                <wp:start x="0" y="0"/>
                <wp:lineTo x="21600" y="0"/>
                <wp:lineTo x="21600" y="21600"/>
                <wp:lineTo x="0" y="21600"/>
                <wp:lineTo x="0" y="0"/>
              </wp:wrapPolygon>
            </wp:wrapThrough>
            <wp:docPr id="1073741831" name="officeArt object" descr="Gráfico 5"/>
            <wp:cNvGraphicFramePr/>
            <a:graphic xmlns:a="http://schemas.openxmlformats.org/drawingml/2006/main">
              <a:graphicData uri="http://schemas.openxmlformats.org/drawingml/2006/picture">
                <pic:pic xmlns:pic="http://schemas.openxmlformats.org/drawingml/2006/picture">
                  <pic:nvPicPr>
                    <pic:cNvPr id="1073741831" name="Grafik 5" descr="Grafik 5"/>
                    <pic:cNvPicPr>
                      <a:picLocks noChangeAspect="1"/>
                    </pic:cNvPicPr>
                  </pic:nvPicPr>
                  <pic:blipFill>
                    <a:blip r:embed="rId11"/>
                    <a:stretch>
                      <a:fillRect/>
                    </a:stretch>
                  </pic:blipFill>
                  <pic:spPr>
                    <a:xfrm>
                      <a:off x="0" y="0"/>
                      <a:ext cx="2876401" cy="1929601"/>
                    </a:xfrm>
                    <a:prstGeom prst="rect">
                      <a:avLst/>
                    </a:prstGeom>
                    <a:ln w="12700" cap="flat">
                      <a:noFill/>
                      <a:miter lim="400000"/>
                    </a:ln>
                    <a:effectLst/>
                  </pic:spPr>
                </pic:pic>
              </a:graphicData>
            </a:graphic>
          </wp:anchor>
        </w:drawing>
      </w:r>
      <w:r>
        <w:rPr>
          <w:sz w:val="18"/>
        </w:rPr>
        <w:t xml:space="preserve">La capacidad del depósito del filtro del equipo Exento LowVac es muy grande y ofrece una mayor seguridad para el personal de soldadura durante la sustitución sin contaminación. </w:t>
      </w:r>
    </w:p>
    <w:p w14:paraId="58316A2A" w14:textId="77777777" w:rsidR="00ED5042" w:rsidRDefault="00ED5042">
      <w:pPr>
        <w:jc w:val="both"/>
        <w:rPr>
          <w:sz w:val="18"/>
          <w:szCs w:val="18"/>
        </w:rPr>
      </w:pPr>
    </w:p>
    <w:p w14:paraId="7AC2B2EF" w14:textId="77777777" w:rsidR="00ED5042" w:rsidRDefault="00ED5042">
      <w:pPr>
        <w:jc w:val="both"/>
        <w:rPr>
          <w:sz w:val="18"/>
          <w:szCs w:val="18"/>
        </w:rPr>
      </w:pPr>
    </w:p>
    <w:p w14:paraId="1A577E53" w14:textId="77777777" w:rsidR="00ED5042" w:rsidRDefault="00ED5042">
      <w:pPr>
        <w:jc w:val="both"/>
        <w:rPr>
          <w:sz w:val="18"/>
          <w:szCs w:val="18"/>
        </w:rPr>
      </w:pPr>
    </w:p>
    <w:p w14:paraId="2996079A" w14:textId="77777777" w:rsidR="00ED5042" w:rsidRDefault="00ED5042">
      <w:pPr>
        <w:jc w:val="both"/>
        <w:rPr>
          <w:sz w:val="18"/>
          <w:szCs w:val="18"/>
        </w:rPr>
      </w:pPr>
    </w:p>
    <w:p w14:paraId="7BAE636D" w14:textId="77777777" w:rsidR="00ED5042" w:rsidRDefault="00ED5042">
      <w:pPr>
        <w:jc w:val="both"/>
        <w:rPr>
          <w:sz w:val="18"/>
          <w:szCs w:val="18"/>
        </w:rPr>
      </w:pPr>
    </w:p>
    <w:p w14:paraId="6C294D8C" w14:textId="0BBEE5A9" w:rsidR="00ED5042" w:rsidRDefault="00B801F9">
      <w:pPr>
        <w:jc w:val="both"/>
        <w:rPr>
          <w:i/>
          <w:sz w:val="18"/>
        </w:rPr>
      </w:pPr>
      <w:r>
        <w:rPr>
          <w:i/>
          <w:sz w:val="18"/>
        </w:rPr>
        <w:t>Derechos de imagen: Fronius International GmbH, reproducción sin coste alguno</w:t>
      </w:r>
    </w:p>
    <w:p w14:paraId="357D4A74" w14:textId="229E179D" w:rsidR="00141235" w:rsidRDefault="00141235">
      <w:pPr>
        <w:jc w:val="both"/>
        <w:rPr>
          <w:i/>
          <w:sz w:val="18"/>
        </w:rPr>
      </w:pPr>
    </w:p>
    <w:p w14:paraId="51864D2D" w14:textId="77777777" w:rsidR="00141235" w:rsidRPr="00141235" w:rsidRDefault="00141235" w:rsidP="00141235">
      <w:pPr>
        <w:pStyle w:val="berschrift4"/>
        <w:rPr>
          <w:sz w:val="20"/>
          <w:szCs w:val="20"/>
          <w:lang w:val="en-US"/>
        </w:rPr>
      </w:pPr>
      <w:r w:rsidRPr="00141235">
        <w:rPr>
          <w:sz w:val="20"/>
          <w:szCs w:val="20"/>
          <w:lang w:val="en-US"/>
        </w:rPr>
        <w:t xml:space="preserve">Unidad de </w:t>
      </w:r>
      <w:proofErr w:type="spellStart"/>
      <w:r w:rsidRPr="00141235">
        <w:rPr>
          <w:sz w:val="20"/>
          <w:szCs w:val="20"/>
          <w:lang w:val="en-US"/>
        </w:rPr>
        <w:t>Negocio</w:t>
      </w:r>
      <w:proofErr w:type="spellEnd"/>
      <w:r w:rsidRPr="00141235">
        <w:rPr>
          <w:sz w:val="20"/>
          <w:szCs w:val="20"/>
          <w:lang w:val="en-US"/>
        </w:rPr>
        <w:t xml:space="preserve"> Perfect Welding</w:t>
      </w:r>
    </w:p>
    <w:p w14:paraId="284B977C" w14:textId="77777777" w:rsidR="00141235" w:rsidRPr="00141235" w:rsidRDefault="00141235" w:rsidP="00141235">
      <w:pPr>
        <w:rPr>
          <w:sz w:val="20"/>
          <w:szCs w:val="20"/>
          <w:lang w:val="en-US"/>
        </w:rPr>
      </w:pPr>
      <w:r w:rsidRPr="00141235">
        <w:rPr>
          <w:sz w:val="20"/>
          <w:szCs w:val="20"/>
          <w:lang w:val="en-US"/>
        </w:rPr>
        <w:t xml:space="preserve">Fronius Perfect Welding es </w:t>
      </w:r>
      <w:proofErr w:type="spellStart"/>
      <w:r w:rsidRPr="00141235">
        <w:rPr>
          <w:sz w:val="20"/>
          <w:szCs w:val="20"/>
          <w:lang w:val="en-US"/>
        </w:rPr>
        <w:t>el</w:t>
      </w:r>
      <w:proofErr w:type="spellEnd"/>
      <w:r w:rsidRPr="00141235">
        <w:rPr>
          <w:sz w:val="20"/>
          <w:szCs w:val="20"/>
          <w:lang w:val="en-US"/>
        </w:rPr>
        <w:t xml:space="preserve"> </w:t>
      </w:r>
      <w:proofErr w:type="spellStart"/>
      <w:r w:rsidRPr="00141235">
        <w:rPr>
          <w:sz w:val="20"/>
          <w:szCs w:val="20"/>
          <w:lang w:val="en-US"/>
        </w:rPr>
        <w:t>líder</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innovación</w:t>
      </w:r>
      <w:proofErr w:type="spellEnd"/>
      <w:r w:rsidRPr="00141235">
        <w:rPr>
          <w:sz w:val="20"/>
          <w:szCs w:val="20"/>
          <w:lang w:val="en-US"/>
        </w:rPr>
        <w:t xml:space="preserve"> para </w:t>
      </w:r>
      <w:proofErr w:type="spellStart"/>
      <w:r w:rsidRPr="00141235">
        <w:rPr>
          <w:sz w:val="20"/>
          <w:szCs w:val="20"/>
          <w:lang w:val="en-US"/>
        </w:rPr>
        <w:t>soldadura</w:t>
      </w:r>
      <w:proofErr w:type="spellEnd"/>
      <w:r w:rsidRPr="00141235">
        <w:rPr>
          <w:sz w:val="20"/>
          <w:szCs w:val="20"/>
          <w:lang w:val="en-US"/>
        </w:rPr>
        <w:t xml:space="preserve"> </w:t>
      </w:r>
      <w:proofErr w:type="spellStart"/>
      <w:r w:rsidRPr="00141235">
        <w:rPr>
          <w:sz w:val="20"/>
          <w:szCs w:val="20"/>
          <w:lang w:val="en-US"/>
        </w:rPr>
        <w:t>por</w:t>
      </w:r>
      <w:proofErr w:type="spellEnd"/>
      <w:r w:rsidRPr="00141235">
        <w:rPr>
          <w:sz w:val="20"/>
          <w:szCs w:val="20"/>
          <w:lang w:val="en-US"/>
        </w:rPr>
        <w:t xml:space="preserve"> arco </w:t>
      </w:r>
      <w:proofErr w:type="spellStart"/>
      <w:r w:rsidRPr="00141235">
        <w:rPr>
          <w:sz w:val="20"/>
          <w:szCs w:val="20"/>
          <w:lang w:val="en-US"/>
        </w:rPr>
        <w:t>voltaico</w:t>
      </w:r>
      <w:proofErr w:type="spellEnd"/>
      <w:r w:rsidRPr="00141235">
        <w:rPr>
          <w:sz w:val="20"/>
          <w:szCs w:val="20"/>
          <w:lang w:val="en-US"/>
        </w:rPr>
        <w:t xml:space="preserve">, y es </w:t>
      </w:r>
      <w:proofErr w:type="spellStart"/>
      <w:r w:rsidRPr="00141235">
        <w:rPr>
          <w:sz w:val="20"/>
          <w:szCs w:val="20"/>
          <w:lang w:val="en-US"/>
        </w:rPr>
        <w:t>líder</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el</w:t>
      </w:r>
      <w:proofErr w:type="spellEnd"/>
      <w:r w:rsidRPr="00141235">
        <w:rPr>
          <w:sz w:val="20"/>
          <w:szCs w:val="20"/>
          <w:lang w:val="en-US"/>
        </w:rPr>
        <w:t xml:space="preserve"> mercado global para </w:t>
      </w:r>
      <w:proofErr w:type="spellStart"/>
      <w:r w:rsidRPr="00141235">
        <w:rPr>
          <w:sz w:val="20"/>
          <w:szCs w:val="20"/>
          <w:lang w:val="en-US"/>
        </w:rPr>
        <w:t>soldadura</w:t>
      </w:r>
      <w:proofErr w:type="spellEnd"/>
      <w:r w:rsidRPr="00141235">
        <w:rPr>
          <w:sz w:val="20"/>
          <w:szCs w:val="20"/>
          <w:lang w:val="en-US"/>
        </w:rPr>
        <w:t xml:space="preserve"> </w:t>
      </w:r>
      <w:proofErr w:type="spellStart"/>
      <w:r w:rsidRPr="00141235">
        <w:rPr>
          <w:sz w:val="20"/>
          <w:szCs w:val="20"/>
          <w:lang w:val="en-US"/>
        </w:rPr>
        <w:t>robótica</w:t>
      </w:r>
      <w:proofErr w:type="spellEnd"/>
      <w:r w:rsidRPr="00141235">
        <w:rPr>
          <w:sz w:val="20"/>
          <w:szCs w:val="20"/>
          <w:lang w:val="en-US"/>
        </w:rPr>
        <w:t xml:space="preserve">. Como </w:t>
      </w:r>
      <w:proofErr w:type="spellStart"/>
      <w:r w:rsidRPr="00141235">
        <w:rPr>
          <w:sz w:val="20"/>
          <w:szCs w:val="20"/>
          <w:lang w:val="en-US"/>
        </w:rPr>
        <w:t>proveedor</w:t>
      </w:r>
      <w:proofErr w:type="spellEnd"/>
      <w:r w:rsidRPr="00141235">
        <w:rPr>
          <w:sz w:val="20"/>
          <w:szCs w:val="20"/>
          <w:lang w:val="en-US"/>
        </w:rPr>
        <w:t xml:space="preserve"> de </w:t>
      </w:r>
      <w:proofErr w:type="spellStart"/>
      <w:r w:rsidRPr="00141235">
        <w:rPr>
          <w:sz w:val="20"/>
          <w:szCs w:val="20"/>
          <w:lang w:val="en-US"/>
        </w:rPr>
        <w:t>Sistemas</w:t>
      </w:r>
      <w:proofErr w:type="spellEnd"/>
      <w:r w:rsidRPr="00141235">
        <w:rPr>
          <w:sz w:val="20"/>
          <w:szCs w:val="20"/>
          <w:lang w:val="en-US"/>
        </w:rPr>
        <w:t xml:space="preserve">. Fronius welding automation </w:t>
      </w:r>
      <w:proofErr w:type="spellStart"/>
      <w:r w:rsidRPr="00141235">
        <w:rPr>
          <w:sz w:val="20"/>
          <w:szCs w:val="20"/>
          <w:lang w:val="en-US"/>
        </w:rPr>
        <w:t>convierte</w:t>
      </w:r>
      <w:proofErr w:type="spellEnd"/>
      <w:r w:rsidRPr="00141235">
        <w:rPr>
          <w:sz w:val="20"/>
          <w:szCs w:val="20"/>
          <w:lang w:val="en-US"/>
        </w:rPr>
        <w:t xml:space="preserve"> las </w:t>
      </w:r>
      <w:proofErr w:type="spellStart"/>
      <w:r w:rsidRPr="00141235">
        <w:rPr>
          <w:sz w:val="20"/>
          <w:szCs w:val="20"/>
          <w:lang w:val="en-US"/>
        </w:rPr>
        <w:t>soluciones</w:t>
      </w:r>
      <w:proofErr w:type="spellEnd"/>
      <w:r w:rsidRPr="00141235">
        <w:rPr>
          <w:sz w:val="20"/>
          <w:szCs w:val="20"/>
          <w:lang w:val="en-US"/>
        </w:rPr>
        <w:t xml:space="preserve"> de </w:t>
      </w:r>
      <w:proofErr w:type="spellStart"/>
      <w:r w:rsidRPr="00141235">
        <w:rPr>
          <w:sz w:val="20"/>
          <w:szCs w:val="20"/>
          <w:lang w:val="en-US"/>
        </w:rPr>
        <w:t>soldadura</w:t>
      </w:r>
      <w:proofErr w:type="spellEnd"/>
      <w:r w:rsidRPr="00141235">
        <w:rPr>
          <w:sz w:val="20"/>
          <w:szCs w:val="20"/>
          <w:lang w:val="en-US"/>
        </w:rPr>
        <w:t xml:space="preserve"> </w:t>
      </w:r>
      <w:proofErr w:type="spellStart"/>
      <w:r w:rsidRPr="00141235">
        <w:rPr>
          <w:sz w:val="20"/>
          <w:szCs w:val="20"/>
          <w:lang w:val="en-US"/>
        </w:rPr>
        <w:t>automatizada</w:t>
      </w:r>
      <w:proofErr w:type="spellEnd"/>
      <w:r w:rsidRPr="00141235">
        <w:rPr>
          <w:sz w:val="20"/>
          <w:szCs w:val="20"/>
          <w:lang w:val="en-US"/>
        </w:rPr>
        <w:t xml:space="preserve"> </w:t>
      </w:r>
      <w:proofErr w:type="spellStart"/>
      <w:r w:rsidRPr="00141235">
        <w:rPr>
          <w:sz w:val="20"/>
          <w:szCs w:val="20"/>
          <w:lang w:val="en-US"/>
        </w:rPr>
        <w:t>específicas</w:t>
      </w:r>
      <w:proofErr w:type="spellEnd"/>
      <w:r w:rsidRPr="00141235">
        <w:rPr>
          <w:sz w:val="20"/>
          <w:szCs w:val="20"/>
          <w:lang w:val="en-US"/>
        </w:rPr>
        <w:t xml:space="preserve"> para </w:t>
      </w:r>
      <w:proofErr w:type="spellStart"/>
      <w:r w:rsidRPr="00141235">
        <w:rPr>
          <w:sz w:val="20"/>
          <w:szCs w:val="20"/>
          <w:lang w:val="en-US"/>
        </w:rPr>
        <w:t>el</w:t>
      </w:r>
      <w:proofErr w:type="spellEnd"/>
      <w:r w:rsidRPr="00141235">
        <w:rPr>
          <w:sz w:val="20"/>
          <w:szCs w:val="20"/>
          <w:lang w:val="en-US"/>
        </w:rPr>
        <w:t xml:space="preserve"> </w:t>
      </w:r>
      <w:proofErr w:type="spellStart"/>
      <w:r w:rsidRPr="00141235">
        <w:rPr>
          <w:sz w:val="20"/>
          <w:szCs w:val="20"/>
          <w:lang w:val="en-US"/>
        </w:rPr>
        <w:t>cliente</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una</w:t>
      </w:r>
      <w:proofErr w:type="spellEnd"/>
      <w:r w:rsidRPr="00141235">
        <w:rPr>
          <w:sz w:val="20"/>
          <w:szCs w:val="20"/>
          <w:lang w:val="en-US"/>
        </w:rPr>
        <w:t xml:space="preserve"> </w:t>
      </w:r>
      <w:proofErr w:type="spellStart"/>
      <w:r w:rsidRPr="00141235">
        <w:rPr>
          <w:sz w:val="20"/>
          <w:szCs w:val="20"/>
          <w:lang w:val="en-US"/>
        </w:rPr>
        <w:t>realidad</w:t>
      </w:r>
      <w:proofErr w:type="spellEnd"/>
      <w:r w:rsidRPr="00141235">
        <w:rPr>
          <w:sz w:val="20"/>
          <w:szCs w:val="20"/>
          <w:lang w:val="en-US"/>
        </w:rPr>
        <w:t xml:space="preserve"> para </w:t>
      </w:r>
      <w:proofErr w:type="spellStart"/>
      <w:r w:rsidRPr="00141235">
        <w:rPr>
          <w:sz w:val="20"/>
          <w:szCs w:val="20"/>
          <w:lang w:val="en-US"/>
        </w:rPr>
        <w:t>diferentes</w:t>
      </w:r>
      <w:proofErr w:type="spellEnd"/>
      <w:r w:rsidRPr="00141235">
        <w:rPr>
          <w:sz w:val="20"/>
          <w:szCs w:val="20"/>
          <w:lang w:val="en-US"/>
        </w:rPr>
        <w:t xml:space="preserve"> </w:t>
      </w:r>
      <w:proofErr w:type="spellStart"/>
      <w:r w:rsidRPr="00141235">
        <w:rPr>
          <w:sz w:val="20"/>
          <w:szCs w:val="20"/>
          <w:lang w:val="en-US"/>
        </w:rPr>
        <w:t>áreas</w:t>
      </w:r>
      <w:proofErr w:type="spellEnd"/>
      <w:r w:rsidRPr="00141235">
        <w:rPr>
          <w:sz w:val="20"/>
          <w:szCs w:val="20"/>
          <w:lang w:val="en-US"/>
        </w:rPr>
        <w:t xml:space="preserve">, </w:t>
      </w:r>
      <w:proofErr w:type="spellStart"/>
      <w:r w:rsidRPr="00141235">
        <w:rPr>
          <w:sz w:val="20"/>
          <w:szCs w:val="20"/>
          <w:lang w:val="en-US"/>
        </w:rPr>
        <w:t>desde</w:t>
      </w:r>
      <w:proofErr w:type="spellEnd"/>
      <w:r w:rsidRPr="00141235">
        <w:rPr>
          <w:sz w:val="20"/>
          <w:szCs w:val="20"/>
          <w:lang w:val="en-US"/>
        </w:rPr>
        <w:t xml:space="preserve"> la </w:t>
      </w:r>
      <w:proofErr w:type="spellStart"/>
      <w:r w:rsidRPr="00141235">
        <w:rPr>
          <w:sz w:val="20"/>
          <w:szCs w:val="20"/>
          <w:lang w:val="en-US"/>
        </w:rPr>
        <w:t>construcción</w:t>
      </w:r>
      <w:proofErr w:type="spellEnd"/>
      <w:r w:rsidRPr="00141235">
        <w:rPr>
          <w:sz w:val="20"/>
          <w:szCs w:val="20"/>
          <w:lang w:val="en-US"/>
        </w:rPr>
        <w:t xml:space="preserve"> de </w:t>
      </w:r>
      <w:proofErr w:type="spellStart"/>
      <w:r w:rsidRPr="00141235">
        <w:rPr>
          <w:sz w:val="20"/>
          <w:szCs w:val="20"/>
          <w:lang w:val="en-US"/>
        </w:rPr>
        <w:t>contenedores</w:t>
      </w:r>
      <w:proofErr w:type="spellEnd"/>
      <w:r w:rsidRPr="00141235">
        <w:rPr>
          <w:sz w:val="20"/>
          <w:szCs w:val="20"/>
          <w:lang w:val="en-US"/>
        </w:rPr>
        <w:t xml:space="preserve"> hasta </w:t>
      </w:r>
      <w:proofErr w:type="spellStart"/>
      <w:r w:rsidRPr="00141235">
        <w:rPr>
          <w:sz w:val="20"/>
          <w:szCs w:val="20"/>
          <w:lang w:val="en-US"/>
        </w:rPr>
        <w:t>el</w:t>
      </w:r>
      <w:proofErr w:type="spellEnd"/>
      <w:r w:rsidRPr="00141235">
        <w:rPr>
          <w:sz w:val="20"/>
          <w:szCs w:val="20"/>
          <w:lang w:val="en-US"/>
        </w:rPr>
        <w:t xml:space="preserve"> </w:t>
      </w:r>
      <w:proofErr w:type="spellStart"/>
      <w:r w:rsidRPr="00141235">
        <w:rPr>
          <w:sz w:val="20"/>
          <w:szCs w:val="20"/>
          <w:lang w:val="en-US"/>
        </w:rPr>
        <w:t>revestimiento</w:t>
      </w:r>
      <w:proofErr w:type="spellEnd"/>
      <w:r w:rsidRPr="00141235">
        <w:rPr>
          <w:sz w:val="20"/>
          <w:szCs w:val="20"/>
          <w:lang w:val="en-US"/>
        </w:rPr>
        <w:t xml:space="preserve"> para </w:t>
      </w:r>
      <w:proofErr w:type="spellStart"/>
      <w:r w:rsidRPr="00141235">
        <w:rPr>
          <w:sz w:val="20"/>
          <w:szCs w:val="20"/>
          <w:lang w:val="en-US"/>
        </w:rPr>
        <w:t>el</w:t>
      </w:r>
      <w:proofErr w:type="spellEnd"/>
      <w:r w:rsidRPr="00141235">
        <w:rPr>
          <w:sz w:val="20"/>
          <w:szCs w:val="20"/>
          <w:lang w:val="en-US"/>
        </w:rPr>
        <w:t xml:space="preserve"> sector offshore. Las </w:t>
      </w:r>
      <w:proofErr w:type="spellStart"/>
      <w:r w:rsidRPr="00141235">
        <w:rPr>
          <w:sz w:val="20"/>
          <w:szCs w:val="20"/>
          <w:lang w:val="en-US"/>
        </w:rPr>
        <w:t>fuentes</w:t>
      </w:r>
      <w:proofErr w:type="spellEnd"/>
      <w:r w:rsidRPr="00141235">
        <w:rPr>
          <w:sz w:val="20"/>
          <w:szCs w:val="20"/>
          <w:lang w:val="en-US"/>
        </w:rPr>
        <w:t xml:space="preserve"> de </w:t>
      </w:r>
      <w:proofErr w:type="spellStart"/>
      <w:r w:rsidRPr="00141235">
        <w:rPr>
          <w:sz w:val="20"/>
          <w:szCs w:val="20"/>
          <w:lang w:val="en-US"/>
        </w:rPr>
        <w:t>corriente</w:t>
      </w:r>
      <w:proofErr w:type="spellEnd"/>
      <w:r w:rsidRPr="00141235">
        <w:rPr>
          <w:sz w:val="20"/>
          <w:szCs w:val="20"/>
          <w:lang w:val="en-US"/>
        </w:rPr>
        <w:t xml:space="preserve"> para </w:t>
      </w:r>
      <w:proofErr w:type="spellStart"/>
      <w:r w:rsidRPr="00141235">
        <w:rPr>
          <w:sz w:val="20"/>
          <w:szCs w:val="20"/>
          <w:lang w:val="en-US"/>
        </w:rPr>
        <w:t>aplicaciones</w:t>
      </w:r>
      <w:proofErr w:type="spellEnd"/>
      <w:r w:rsidRPr="00141235">
        <w:rPr>
          <w:sz w:val="20"/>
          <w:szCs w:val="20"/>
          <w:lang w:val="en-US"/>
        </w:rPr>
        <w:t xml:space="preserve"> </w:t>
      </w:r>
      <w:proofErr w:type="spellStart"/>
      <w:r w:rsidRPr="00141235">
        <w:rPr>
          <w:sz w:val="20"/>
          <w:szCs w:val="20"/>
          <w:lang w:val="en-US"/>
        </w:rPr>
        <w:t>manuales</w:t>
      </w:r>
      <w:proofErr w:type="spellEnd"/>
      <w:r w:rsidRPr="00141235">
        <w:rPr>
          <w:sz w:val="20"/>
          <w:szCs w:val="20"/>
          <w:lang w:val="en-US"/>
        </w:rPr>
        <w:t xml:space="preserve">, </w:t>
      </w:r>
      <w:proofErr w:type="spellStart"/>
      <w:r w:rsidRPr="00141235">
        <w:rPr>
          <w:sz w:val="20"/>
          <w:szCs w:val="20"/>
          <w:lang w:val="en-US"/>
        </w:rPr>
        <w:t>los</w:t>
      </w:r>
      <w:proofErr w:type="spellEnd"/>
      <w:r w:rsidRPr="00141235">
        <w:rPr>
          <w:sz w:val="20"/>
          <w:szCs w:val="20"/>
          <w:lang w:val="en-US"/>
        </w:rPr>
        <w:t xml:space="preserve"> </w:t>
      </w:r>
      <w:proofErr w:type="spellStart"/>
      <w:r w:rsidRPr="00141235">
        <w:rPr>
          <w:sz w:val="20"/>
          <w:szCs w:val="20"/>
          <w:lang w:val="en-US"/>
        </w:rPr>
        <w:t>accesorios</w:t>
      </w:r>
      <w:proofErr w:type="spellEnd"/>
      <w:r w:rsidRPr="00141235">
        <w:rPr>
          <w:sz w:val="20"/>
          <w:szCs w:val="20"/>
          <w:lang w:val="en-US"/>
        </w:rPr>
        <w:t xml:space="preserve"> de </w:t>
      </w:r>
      <w:proofErr w:type="spellStart"/>
      <w:r w:rsidRPr="00141235">
        <w:rPr>
          <w:sz w:val="20"/>
          <w:szCs w:val="20"/>
          <w:lang w:val="en-US"/>
        </w:rPr>
        <w:t>soldadura</w:t>
      </w:r>
      <w:proofErr w:type="spellEnd"/>
      <w:r w:rsidRPr="00141235">
        <w:rPr>
          <w:sz w:val="20"/>
          <w:szCs w:val="20"/>
          <w:lang w:val="en-US"/>
        </w:rPr>
        <w:t xml:space="preserve"> y un </w:t>
      </w:r>
      <w:proofErr w:type="spellStart"/>
      <w:r w:rsidRPr="00141235">
        <w:rPr>
          <w:sz w:val="20"/>
          <w:szCs w:val="20"/>
          <w:lang w:val="en-US"/>
        </w:rPr>
        <w:t>amplio</w:t>
      </w:r>
      <w:proofErr w:type="spellEnd"/>
      <w:r w:rsidRPr="00141235">
        <w:rPr>
          <w:sz w:val="20"/>
          <w:szCs w:val="20"/>
          <w:lang w:val="en-US"/>
        </w:rPr>
        <w:t xml:space="preserve"> </w:t>
      </w:r>
      <w:proofErr w:type="spellStart"/>
      <w:r w:rsidRPr="00141235">
        <w:rPr>
          <w:sz w:val="20"/>
          <w:szCs w:val="20"/>
          <w:lang w:val="en-US"/>
        </w:rPr>
        <w:t>rango</w:t>
      </w:r>
      <w:proofErr w:type="spellEnd"/>
      <w:r w:rsidRPr="00141235">
        <w:rPr>
          <w:sz w:val="20"/>
          <w:szCs w:val="20"/>
          <w:lang w:val="en-US"/>
        </w:rPr>
        <w:t xml:space="preserve"> de </w:t>
      </w:r>
      <w:proofErr w:type="spellStart"/>
      <w:r w:rsidRPr="00141235">
        <w:rPr>
          <w:sz w:val="20"/>
          <w:szCs w:val="20"/>
          <w:lang w:val="en-US"/>
        </w:rPr>
        <w:t>servicios</w:t>
      </w:r>
      <w:proofErr w:type="spellEnd"/>
      <w:r w:rsidRPr="00141235">
        <w:rPr>
          <w:sz w:val="20"/>
          <w:szCs w:val="20"/>
          <w:lang w:val="en-US"/>
        </w:rPr>
        <w:t xml:space="preserve"> </w:t>
      </w:r>
      <w:proofErr w:type="spellStart"/>
      <w:r w:rsidRPr="00141235">
        <w:rPr>
          <w:sz w:val="20"/>
          <w:szCs w:val="20"/>
          <w:lang w:val="en-US"/>
        </w:rPr>
        <w:t>adicionados</w:t>
      </w:r>
      <w:proofErr w:type="spellEnd"/>
      <w:r w:rsidRPr="00141235">
        <w:rPr>
          <w:sz w:val="20"/>
          <w:szCs w:val="20"/>
          <w:lang w:val="en-US"/>
        </w:rPr>
        <w:t xml:space="preserve"> a </w:t>
      </w:r>
      <w:proofErr w:type="spellStart"/>
      <w:r w:rsidRPr="00141235">
        <w:rPr>
          <w:sz w:val="20"/>
          <w:szCs w:val="20"/>
          <w:lang w:val="en-US"/>
        </w:rPr>
        <w:t>nuestra</w:t>
      </w:r>
      <w:proofErr w:type="spellEnd"/>
      <w:r w:rsidRPr="00141235">
        <w:rPr>
          <w:sz w:val="20"/>
          <w:szCs w:val="20"/>
          <w:lang w:val="en-US"/>
        </w:rPr>
        <w:t xml:space="preserve"> </w:t>
      </w:r>
      <w:proofErr w:type="spellStart"/>
      <w:r w:rsidRPr="00141235">
        <w:rPr>
          <w:sz w:val="20"/>
          <w:szCs w:val="20"/>
          <w:lang w:val="en-US"/>
        </w:rPr>
        <w:t>cartera</w:t>
      </w:r>
      <w:proofErr w:type="spellEnd"/>
      <w:r w:rsidRPr="00141235">
        <w:rPr>
          <w:sz w:val="20"/>
          <w:szCs w:val="20"/>
          <w:lang w:val="en-US"/>
        </w:rPr>
        <w:t xml:space="preserve">. Con </w:t>
      </w:r>
      <w:proofErr w:type="spellStart"/>
      <w:r w:rsidRPr="00141235">
        <w:rPr>
          <w:sz w:val="20"/>
          <w:szCs w:val="20"/>
          <w:lang w:val="en-US"/>
        </w:rPr>
        <w:t>más</w:t>
      </w:r>
      <w:proofErr w:type="spellEnd"/>
      <w:r w:rsidRPr="00141235">
        <w:rPr>
          <w:sz w:val="20"/>
          <w:szCs w:val="20"/>
          <w:lang w:val="en-US"/>
        </w:rPr>
        <w:t xml:space="preserve"> de 1.000 </w:t>
      </w:r>
      <w:proofErr w:type="spellStart"/>
      <w:r w:rsidRPr="00141235">
        <w:rPr>
          <w:sz w:val="20"/>
          <w:szCs w:val="20"/>
          <w:lang w:val="en-US"/>
        </w:rPr>
        <w:t>distribuidores</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todo</w:t>
      </w:r>
      <w:proofErr w:type="spellEnd"/>
      <w:r w:rsidRPr="00141235">
        <w:rPr>
          <w:sz w:val="20"/>
          <w:szCs w:val="20"/>
          <w:lang w:val="en-US"/>
        </w:rPr>
        <w:t xml:space="preserve"> </w:t>
      </w:r>
      <w:proofErr w:type="spellStart"/>
      <w:r w:rsidRPr="00141235">
        <w:rPr>
          <w:sz w:val="20"/>
          <w:szCs w:val="20"/>
          <w:lang w:val="en-US"/>
        </w:rPr>
        <w:t>el</w:t>
      </w:r>
      <w:proofErr w:type="spellEnd"/>
      <w:r w:rsidRPr="00141235">
        <w:rPr>
          <w:sz w:val="20"/>
          <w:szCs w:val="20"/>
          <w:lang w:val="en-US"/>
        </w:rPr>
        <w:t xml:space="preserve"> </w:t>
      </w:r>
      <w:proofErr w:type="spellStart"/>
      <w:r w:rsidRPr="00141235">
        <w:rPr>
          <w:sz w:val="20"/>
          <w:szCs w:val="20"/>
          <w:lang w:val="en-US"/>
        </w:rPr>
        <w:t>mundo</w:t>
      </w:r>
      <w:proofErr w:type="spellEnd"/>
      <w:r w:rsidRPr="00141235">
        <w:rPr>
          <w:sz w:val="20"/>
          <w:szCs w:val="20"/>
          <w:lang w:val="en-US"/>
        </w:rPr>
        <w:t xml:space="preserve">, Fronius Perfect Welding </w:t>
      </w:r>
      <w:proofErr w:type="spellStart"/>
      <w:r w:rsidRPr="00141235">
        <w:rPr>
          <w:sz w:val="20"/>
          <w:szCs w:val="20"/>
          <w:lang w:val="en-US"/>
        </w:rPr>
        <w:t>siempre</w:t>
      </w:r>
      <w:proofErr w:type="spellEnd"/>
      <w:r w:rsidRPr="00141235">
        <w:rPr>
          <w:sz w:val="20"/>
          <w:szCs w:val="20"/>
          <w:lang w:val="en-US"/>
        </w:rPr>
        <w:t xml:space="preserve"> </w:t>
      </w:r>
      <w:proofErr w:type="spellStart"/>
      <w:r w:rsidRPr="00141235">
        <w:rPr>
          <w:sz w:val="20"/>
          <w:szCs w:val="20"/>
          <w:lang w:val="en-US"/>
        </w:rPr>
        <w:t>está</w:t>
      </w:r>
      <w:proofErr w:type="spellEnd"/>
      <w:r w:rsidRPr="00141235">
        <w:rPr>
          <w:sz w:val="20"/>
          <w:szCs w:val="20"/>
          <w:lang w:val="en-US"/>
        </w:rPr>
        <w:t xml:space="preserve"> </w:t>
      </w:r>
      <w:proofErr w:type="spellStart"/>
      <w:r w:rsidRPr="00141235">
        <w:rPr>
          <w:sz w:val="20"/>
          <w:szCs w:val="20"/>
          <w:lang w:val="en-US"/>
        </w:rPr>
        <w:t>cerca</w:t>
      </w:r>
      <w:proofErr w:type="spellEnd"/>
      <w:r w:rsidRPr="00141235">
        <w:rPr>
          <w:sz w:val="20"/>
          <w:szCs w:val="20"/>
          <w:lang w:val="en-US"/>
        </w:rPr>
        <w:t xml:space="preserve"> de sus </w:t>
      </w:r>
      <w:proofErr w:type="spellStart"/>
      <w:r w:rsidRPr="00141235">
        <w:rPr>
          <w:sz w:val="20"/>
          <w:szCs w:val="20"/>
          <w:lang w:val="en-US"/>
        </w:rPr>
        <w:t>clientes</w:t>
      </w:r>
      <w:proofErr w:type="spellEnd"/>
      <w:r w:rsidRPr="00141235">
        <w:rPr>
          <w:sz w:val="20"/>
          <w:szCs w:val="20"/>
          <w:lang w:val="en-US"/>
        </w:rPr>
        <w:t xml:space="preserve">. </w:t>
      </w:r>
    </w:p>
    <w:p w14:paraId="0DC8A17C" w14:textId="77777777" w:rsidR="00141235" w:rsidRDefault="00141235" w:rsidP="00141235">
      <w:pPr>
        <w:pStyle w:val="berschrift4"/>
        <w:jc w:val="both"/>
        <w:rPr>
          <w:sz w:val="20"/>
          <w:szCs w:val="20"/>
        </w:rPr>
      </w:pPr>
    </w:p>
    <w:p w14:paraId="68003D3D" w14:textId="2C5D2E5E" w:rsidR="00141235" w:rsidRPr="00141235" w:rsidRDefault="00141235" w:rsidP="00141235">
      <w:pPr>
        <w:pStyle w:val="berschrift4"/>
        <w:jc w:val="both"/>
        <w:rPr>
          <w:sz w:val="20"/>
          <w:szCs w:val="20"/>
        </w:rPr>
      </w:pPr>
      <w:r w:rsidRPr="00141235">
        <w:rPr>
          <w:sz w:val="20"/>
          <w:szCs w:val="20"/>
        </w:rPr>
        <w:t>Fronius International GmbH</w:t>
      </w:r>
    </w:p>
    <w:p w14:paraId="6C3A4844" w14:textId="77777777" w:rsidR="00141235" w:rsidRPr="00141235" w:rsidRDefault="00141235" w:rsidP="00141235">
      <w:pPr>
        <w:rPr>
          <w:sz w:val="20"/>
          <w:szCs w:val="20"/>
          <w:lang w:val="en-US"/>
        </w:rPr>
      </w:pPr>
      <w:r w:rsidRPr="00141235">
        <w:rPr>
          <w:sz w:val="20"/>
          <w:szCs w:val="20"/>
        </w:rPr>
        <w:t xml:space="preserve">Fronius International GmbH es una empresa austriaca con sede en Pettenbach e instalaciones en Wels, Thalheim, Steinhaus y Sattledt. </w:t>
      </w:r>
      <w:r w:rsidRPr="00141235">
        <w:rPr>
          <w:sz w:val="20"/>
          <w:szCs w:val="20"/>
          <w:lang w:val="en-US"/>
        </w:rPr>
        <w:t xml:space="preserve">La </w:t>
      </w:r>
      <w:proofErr w:type="spellStart"/>
      <w:r w:rsidRPr="00141235">
        <w:rPr>
          <w:sz w:val="20"/>
          <w:szCs w:val="20"/>
          <w:lang w:val="en-US"/>
        </w:rPr>
        <w:t>empresa</w:t>
      </w:r>
      <w:proofErr w:type="spellEnd"/>
      <w:r w:rsidRPr="00141235">
        <w:rPr>
          <w:sz w:val="20"/>
          <w:szCs w:val="20"/>
          <w:lang w:val="en-US"/>
        </w:rPr>
        <w:t xml:space="preserve"> con sus 6.100 </w:t>
      </w:r>
      <w:proofErr w:type="spellStart"/>
      <w:r w:rsidRPr="00141235">
        <w:rPr>
          <w:sz w:val="20"/>
          <w:szCs w:val="20"/>
          <w:lang w:val="en-US"/>
        </w:rPr>
        <w:t>empleados</w:t>
      </w:r>
      <w:proofErr w:type="spellEnd"/>
      <w:r w:rsidRPr="00141235">
        <w:rPr>
          <w:sz w:val="20"/>
          <w:szCs w:val="20"/>
          <w:lang w:val="en-US"/>
        </w:rPr>
        <w:t xml:space="preserve"> a </w:t>
      </w:r>
      <w:proofErr w:type="spellStart"/>
      <w:r w:rsidRPr="00141235">
        <w:rPr>
          <w:sz w:val="20"/>
          <w:szCs w:val="20"/>
          <w:lang w:val="en-US"/>
        </w:rPr>
        <w:t>nivel</w:t>
      </w:r>
      <w:proofErr w:type="spellEnd"/>
      <w:r w:rsidRPr="00141235">
        <w:rPr>
          <w:sz w:val="20"/>
          <w:szCs w:val="20"/>
          <w:lang w:val="en-US"/>
        </w:rPr>
        <w:t xml:space="preserve"> global se </w:t>
      </w:r>
      <w:proofErr w:type="spellStart"/>
      <w:r w:rsidRPr="00141235">
        <w:rPr>
          <w:sz w:val="20"/>
          <w:szCs w:val="20"/>
          <w:lang w:val="en-US"/>
        </w:rPr>
        <w:t>dedica</w:t>
      </w:r>
      <w:proofErr w:type="spellEnd"/>
      <w:r w:rsidRPr="00141235">
        <w:rPr>
          <w:sz w:val="20"/>
          <w:szCs w:val="20"/>
          <w:lang w:val="en-US"/>
        </w:rPr>
        <w:t xml:space="preserve"> a </w:t>
      </w:r>
      <w:proofErr w:type="spellStart"/>
      <w:r w:rsidRPr="00141235">
        <w:rPr>
          <w:sz w:val="20"/>
          <w:szCs w:val="20"/>
          <w:lang w:val="en-US"/>
        </w:rPr>
        <w:t>los</w:t>
      </w:r>
      <w:proofErr w:type="spellEnd"/>
      <w:r w:rsidRPr="00141235">
        <w:rPr>
          <w:sz w:val="20"/>
          <w:szCs w:val="20"/>
          <w:lang w:val="en-US"/>
        </w:rPr>
        <w:t xml:space="preserve"> </w:t>
      </w:r>
      <w:proofErr w:type="spellStart"/>
      <w:r w:rsidRPr="00141235">
        <w:rPr>
          <w:sz w:val="20"/>
          <w:szCs w:val="20"/>
          <w:lang w:val="en-US"/>
        </w:rPr>
        <w:t>sectores</w:t>
      </w:r>
      <w:proofErr w:type="spellEnd"/>
      <w:r w:rsidRPr="00141235">
        <w:rPr>
          <w:sz w:val="20"/>
          <w:szCs w:val="20"/>
          <w:lang w:val="en-US"/>
        </w:rPr>
        <w:t xml:space="preserve"> de </w:t>
      </w:r>
      <w:proofErr w:type="spellStart"/>
      <w:r w:rsidRPr="00141235">
        <w:rPr>
          <w:sz w:val="20"/>
          <w:szCs w:val="20"/>
          <w:lang w:val="en-US"/>
        </w:rPr>
        <w:t>tecnología</w:t>
      </w:r>
      <w:proofErr w:type="spellEnd"/>
      <w:r w:rsidRPr="00141235">
        <w:rPr>
          <w:sz w:val="20"/>
          <w:szCs w:val="20"/>
          <w:lang w:val="en-US"/>
        </w:rPr>
        <w:t xml:space="preserve"> de </w:t>
      </w:r>
      <w:proofErr w:type="spellStart"/>
      <w:r w:rsidRPr="00141235">
        <w:rPr>
          <w:sz w:val="20"/>
          <w:szCs w:val="20"/>
          <w:lang w:val="en-US"/>
        </w:rPr>
        <w:t>soldadura</w:t>
      </w:r>
      <w:proofErr w:type="spellEnd"/>
      <w:r w:rsidRPr="00141235">
        <w:rPr>
          <w:sz w:val="20"/>
          <w:szCs w:val="20"/>
          <w:lang w:val="en-US"/>
        </w:rPr>
        <w:t xml:space="preserve">, </w:t>
      </w:r>
      <w:proofErr w:type="spellStart"/>
      <w:r w:rsidRPr="00141235">
        <w:rPr>
          <w:sz w:val="20"/>
          <w:szCs w:val="20"/>
          <w:lang w:val="en-US"/>
        </w:rPr>
        <w:t>fotovoltaica</w:t>
      </w:r>
      <w:proofErr w:type="spellEnd"/>
      <w:r w:rsidRPr="00141235">
        <w:rPr>
          <w:sz w:val="20"/>
          <w:szCs w:val="20"/>
          <w:lang w:val="en-US"/>
        </w:rPr>
        <w:t xml:space="preserve"> y </w:t>
      </w:r>
      <w:proofErr w:type="spellStart"/>
      <w:r w:rsidRPr="00141235">
        <w:rPr>
          <w:sz w:val="20"/>
          <w:szCs w:val="20"/>
          <w:lang w:val="en-US"/>
        </w:rPr>
        <w:t>tecnología</w:t>
      </w:r>
      <w:proofErr w:type="spellEnd"/>
      <w:r w:rsidRPr="00141235">
        <w:rPr>
          <w:sz w:val="20"/>
          <w:szCs w:val="20"/>
          <w:lang w:val="en-US"/>
        </w:rPr>
        <w:t xml:space="preserve"> de carga de </w:t>
      </w:r>
      <w:proofErr w:type="spellStart"/>
      <w:r w:rsidRPr="00141235">
        <w:rPr>
          <w:sz w:val="20"/>
          <w:szCs w:val="20"/>
          <w:lang w:val="en-US"/>
        </w:rPr>
        <w:t>baterías</w:t>
      </w:r>
      <w:proofErr w:type="spellEnd"/>
      <w:r w:rsidRPr="00141235">
        <w:rPr>
          <w:sz w:val="20"/>
          <w:szCs w:val="20"/>
          <w:lang w:val="en-US"/>
        </w:rPr>
        <w:t xml:space="preserve">. El </w:t>
      </w:r>
      <w:proofErr w:type="spellStart"/>
      <w:r w:rsidRPr="00141235">
        <w:rPr>
          <w:sz w:val="20"/>
          <w:szCs w:val="20"/>
          <w:lang w:val="en-US"/>
        </w:rPr>
        <w:t>porcentaje</w:t>
      </w:r>
      <w:proofErr w:type="spellEnd"/>
      <w:r w:rsidRPr="00141235">
        <w:rPr>
          <w:sz w:val="20"/>
          <w:szCs w:val="20"/>
          <w:lang w:val="en-US"/>
        </w:rPr>
        <w:t xml:space="preserve"> de </w:t>
      </w:r>
      <w:proofErr w:type="spellStart"/>
      <w:r w:rsidRPr="00141235">
        <w:rPr>
          <w:sz w:val="20"/>
          <w:szCs w:val="20"/>
          <w:lang w:val="en-US"/>
        </w:rPr>
        <w:t>exportación</w:t>
      </w:r>
      <w:proofErr w:type="spellEnd"/>
      <w:r w:rsidRPr="00141235">
        <w:rPr>
          <w:sz w:val="20"/>
          <w:szCs w:val="20"/>
          <w:lang w:val="en-US"/>
        </w:rPr>
        <w:t xml:space="preserve"> es de </w:t>
      </w:r>
      <w:proofErr w:type="spellStart"/>
      <w:r w:rsidRPr="00141235">
        <w:rPr>
          <w:sz w:val="20"/>
          <w:szCs w:val="20"/>
          <w:lang w:val="en-US"/>
        </w:rPr>
        <w:t>aproximadamente</w:t>
      </w:r>
      <w:proofErr w:type="spellEnd"/>
      <w:r w:rsidRPr="00141235">
        <w:rPr>
          <w:sz w:val="20"/>
          <w:szCs w:val="20"/>
          <w:lang w:val="en-US"/>
        </w:rPr>
        <w:t xml:space="preserve"> </w:t>
      </w:r>
      <w:proofErr w:type="spellStart"/>
      <w:r w:rsidRPr="00141235">
        <w:rPr>
          <w:sz w:val="20"/>
          <w:szCs w:val="20"/>
          <w:lang w:val="en-US"/>
        </w:rPr>
        <w:t>el</w:t>
      </w:r>
      <w:proofErr w:type="spellEnd"/>
      <w:r w:rsidRPr="00141235">
        <w:rPr>
          <w:sz w:val="20"/>
          <w:szCs w:val="20"/>
          <w:lang w:val="en-US"/>
        </w:rPr>
        <w:t xml:space="preserve"> 89 </w:t>
      </w:r>
      <w:proofErr w:type="spellStart"/>
      <w:r w:rsidRPr="00141235">
        <w:rPr>
          <w:sz w:val="20"/>
          <w:szCs w:val="20"/>
          <w:lang w:val="en-US"/>
        </w:rPr>
        <w:t>por</w:t>
      </w:r>
      <w:proofErr w:type="spellEnd"/>
      <w:r w:rsidRPr="00141235">
        <w:rPr>
          <w:sz w:val="20"/>
          <w:szCs w:val="20"/>
          <w:lang w:val="en-US"/>
        </w:rPr>
        <w:t xml:space="preserve"> </w:t>
      </w:r>
      <w:proofErr w:type="spellStart"/>
      <w:r w:rsidRPr="00141235">
        <w:rPr>
          <w:sz w:val="20"/>
          <w:szCs w:val="20"/>
          <w:lang w:val="en-US"/>
        </w:rPr>
        <w:t>ciento</w:t>
      </w:r>
      <w:proofErr w:type="spellEnd"/>
      <w:r w:rsidRPr="00141235">
        <w:rPr>
          <w:sz w:val="20"/>
          <w:szCs w:val="20"/>
          <w:lang w:val="en-US"/>
        </w:rPr>
        <w:t xml:space="preserve"> y se </w:t>
      </w:r>
      <w:proofErr w:type="spellStart"/>
      <w:r w:rsidRPr="00141235">
        <w:rPr>
          <w:sz w:val="20"/>
          <w:szCs w:val="20"/>
          <w:lang w:val="en-US"/>
        </w:rPr>
        <w:t>consigue</w:t>
      </w:r>
      <w:proofErr w:type="spellEnd"/>
      <w:r w:rsidRPr="00141235">
        <w:rPr>
          <w:sz w:val="20"/>
          <w:szCs w:val="20"/>
          <w:lang w:val="en-US"/>
        </w:rPr>
        <w:t xml:space="preserve"> gracias a las 36 </w:t>
      </w:r>
      <w:proofErr w:type="spellStart"/>
      <w:r w:rsidRPr="00141235">
        <w:rPr>
          <w:sz w:val="20"/>
          <w:szCs w:val="20"/>
          <w:lang w:val="en-US"/>
        </w:rPr>
        <w:t>sociedades</w:t>
      </w:r>
      <w:proofErr w:type="spellEnd"/>
      <w:r w:rsidRPr="00141235">
        <w:rPr>
          <w:sz w:val="20"/>
          <w:szCs w:val="20"/>
          <w:lang w:val="en-US"/>
        </w:rPr>
        <w:t xml:space="preserve"> </w:t>
      </w:r>
      <w:proofErr w:type="spellStart"/>
      <w:r w:rsidRPr="00141235">
        <w:rPr>
          <w:sz w:val="20"/>
          <w:szCs w:val="20"/>
          <w:lang w:val="en-US"/>
        </w:rPr>
        <w:t>internacionales</w:t>
      </w:r>
      <w:proofErr w:type="spellEnd"/>
      <w:r w:rsidRPr="00141235">
        <w:rPr>
          <w:sz w:val="20"/>
          <w:szCs w:val="20"/>
          <w:lang w:val="en-US"/>
        </w:rPr>
        <w:t xml:space="preserve"> de Fronius y </w:t>
      </w:r>
      <w:proofErr w:type="spellStart"/>
      <w:r w:rsidRPr="00141235">
        <w:rPr>
          <w:sz w:val="20"/>
          <w:szCs w:val="20"/>
          <w:lang w:val="en-US"/>
        </w:rPr>
        <w:t>distribuidores</w:t>
      </w:r>
      <w:proofErr w:type="spellEnd"/>
      <w:r w:rsidRPr="00141235">
        <w:rPr>
          <w:sz w:val="20"/>
          <w:szCs w:val="20"/>
          <w:lang w:val="en-US"/>
        </w:rPr>
        <w:t>/</w:t>
      </w:r>
      <w:proofErr w:type="spellStart"/>
      <w:r w:rsidRPr="00141235">
        <w:rPr>
          <w:sz w:val="20"/>
          <w:szCs w:val="20"/>
          <w:lang w:val="en-US"/>
        </w:rPr>
        <w:t>representantes</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más</w:t>
      </w:r>
      <w:proofErr w:type="spellEnd"/>
      <w:r w:rsidRPr="00141235">
        <w:rPr>
          <w:sz w:val="20"/>
          <w:szCs w:val="20"/>
          <w:lang w:val="en-US"/>
        </w:rPr>
        <w:t xml:space="preserve"> de 60 </w:t>
      </w:r>
      <w:proofErr w:type="spellStart"/>
      <w:r w:rsidRPr="00141235">
        <w:rPr>
          <w:sz w:val="20"/>
          <w:szCs w:val="20"/>
          <w:lang w:val="en-US"/>
        </w:rPr>
        <w:t>países</w:t>
      </w:r>
      <w:proofErr w:type="spellEnd"/>
      <w:r w:rsidRPr="00141235">
        <w:rPr>
          <w:sz w:val="20"/>
          <w:szCs w:val="20"/>
          <w:lang w:val="en-US"/>
        </w:rPr>
        <w:t xml:space="preserve">. Fronius es </w:t>
      </w:r>
      <w:proofErr w:type="spellStart"/>
      <w:r w:rsidRPr="00141235">
        <w:rPr>
          <w:sz w:val="20"/>
          <w:szCs w:val="20"/>
          <w:lang w:val="en-US"/>
        </w:rPr>
        <w:t>líder</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innovación</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el</w:t>
      </w:r>
      <w:proofErr w:type="spellEnd"/>
      <w:r w:rsidRPr="00141235">
        <w:rPr>
          <w:sz w:val="20"/>
          <w:szCs w:val="20"/>
          <w:lang w:val="en-US"/>
        </w:rPr>
        <w:t xml:space="preserve"> mercado </w:t>
      </w:r>
      <w:proofErr w:type="spellStart"/>
      <w:r w:rsidRPr="00141235">
        <w:rPr>
          <w:sz w:val="20"/>
          <w:szCs w:val="20"/>
          <w:lang w:val="en-US"/>
        </w:rPr>
        <w:t>mundial</w:t>
      </w:r>
      <w:proofErr w:type="spellEnd"/>
      <w:r w:rsidRPr="00141235">
        <w:rPr>
          <w:sz w:val="20"/>
          <w:szCs w:val="20"/>
          <w:lang w:val="en-US"/>
        </w:rPr>
        <w:t xml:space="preserve"> gracias a sus </w:t>
      </w:r>
      <w:proofErr w:type="spellStart"/>
      <w:r w:rsidRPr="00141235">
        <w:rPr>
          <w:sz w:val="20"/>
          <w:szCs w:val="20"/>
          <w:lang w:val="en-US"/>
        </w:rPr>
        <w:t>productos</w:t>
      </w:r>
      <w:proofErr w:type="spellEnd"/>
      <w:r w:rsidRPr="00141235">
        <w:rPr>
          <w:sz w:val="20"/>
          <w:szCs w:val="20"/>
          <w:lang w:val="en-US"/>
        </w:rPr>
        <w:t xml:space="preserve"> </w:t>
      </w:r>
      <w:proofErr w:type="spellStart"/>
      <w:r w:rsidRPr="00141235">
        <w:rPr>
          <w:sz w:val="20"/>
          <w:szCs w:val="20"/>
          <w:lang w:val="en-US"/>
        </w:rPr>
        <w:t>innovadores</w:t>
      </w:r>
      <w:proofErr w:type="spellEnd"/>
      <w:r w:rsidRPr="00141235">
        <w:rPr>
          <w:sz w:val="20"/>
          <w:szCs w:val="20"/>
          <w:lang w:val="en-US"/>
        </w:rPr>
        <w:t xml:space="preserve"> y </w:t>
      </w:r>
      <w:proofErr w:type="spellStart"/>
      <w:r w:rsidRPr="00141235">
        <w:rPr>
          <w:sz w:val="20"/>
          <w:szCs w:val="20"/>
          <w:lang w:val="en-US"/>
        </w:rPr>
        <w:t>servicios</w:t>
      </w:r>
      <w:proofErr w:type="spellEnd"/>
      <w:r w:rsidRPr="00141235">
        <w:rPr>
          <w:sz w:val="20"/>
          <w:szCs w:val="20"/>
          <w:lang w:val="en-US"/>
        </w:rPr>
        <w:t xml:space="preserve">, </w:t>
      </w:r>
      <w:proofErr w:type="spellStart"/>
      <w:r w:rsidRPr="00141235">
        <w:rPr>
          <w:sz w:val="20"/>
          <w:szCs w:val="20"/>
          <w:lang w:val="en-US"/>
        </w:rPr>
        <w:t>así</w:t>
      </w:r>
      <w:proofErr w:type="spellEnd"/>
      <w:r w:rsidRPr="00141235">
        <w:rPr>
          <w:sz w:val="20"/>
          <w:szCs w:val="20"/>
          <w:lang w:val="en-US"/>
        </w:rPr>
        <w:t xml:space="preserve"> </w:t>
      </w:r>
      <w:proofErr w:type="spellStart"/>
      <w:r w:rsidRPr="00141235">
        <w:rPr>
          <w:sz w:val="20"/>
          <w:szCs w:val="20"/>
          <w:lang w:val="en-US"/>
        </w:rPr>
        <w:t>como</w:t>
      </w:r>
      <w:proofErr w:type="spellEnd"/>
      <w:r w:rsidRPr="00141235">
        <w:rPr>
          <w:sz w:val="20"/>
          <w:szCs w:val="20"/>
          <w:lang w:val="en-US"/>
        </w:rPr>
        <w:t xml:space="preserve"> a las 1.366 </w:t>
      </w:r>
      <w:proofErr w:type="spellStart"/>
      <w:r w:rsidRPr="00141235">
        <w:rPr>
          <w:sz w:val="20"/>
          <w:szCs w:val="20"/>
          <w:lang w:val="en-US"/>
        </w:rPr>
        <w:t>patentes</w:t>
      </w:r>
      <w:proofErr w:type="spellEnd"/>
      <w:r w:rsidRPr="00141235">
        <w:rPr>
          <w:sz w:val="20"/>
          <w:szCs w:val="20"/>
          <w:lang w:val="en-US"/>
        </w:rPr>
        <w:t xml:space="preserve"> </w:t>
      </w:r>
      <w:proofErr w:type="spellStart"/>
      <w:r w:rsidRPr="00141235">
        <w:rPr>
          <w:sz w:val="20"/>
          <w:szCs w:val="20"/>
          <w:lang w:val="en-US"/>
        </w:rPr>
        <w:t>concedidas</w:t>
      </w:r>
      <w:proofErr w:type="spellEnd"/>
      <w:r w:rsidRPr="00141235">
        <w:rPr>
          <w:sz w:val="20"/>
          <w:szCs w:val="20"/>
          <w:lang w:val="en-US"/>
        </w:rPr>
        <w:t>.</w:t>
      </w:r>
    </w:p>
    <w:p w14:paraId="12F34341" w14:textId="77777777" w:rsidR="00141235" w:rsidRPr="00141235" w:rsidRDefault="00141235" w:rsidP="00141235">
      <w:pPr>
        <w:rPr>
          <w:sz w:val="20"/>
          <w:szCs w:val="20"/>
          <w:lang w:val="en-US"/>
        </w:rPr>
      </w:pPr>
    </w:p>
    <w:p w14:paraId="1967D37B" w14:textId="77777777" w:rsidR="00141235" w:rsidRPr="00141235" w:rsidRDefault="00141235" w:rsidP="00141235">
      <w:pPr>
        <w:rPr>
          <w:sz w:val="20"/>
          <w:szCs w:val="20"/>
          <w:lang w:val="en-US"/>
        </w:rPr>
      </w:pPr>
      <w:r w:rsidRPr="00141235">
        <w:rPr>
          <w:rFonts w:eastAsiaTheme="majorEastAsia"/>
          <w:iCs/>
          <w:color w:val="000000" w:themeColor="text1"/>
          <w:sz w:val="20"/>
          <w:szCs w:val="20"/>
          <w:u w:val="single"/>
          <w:lang w:val="en-US"/>
        </w:rPr>
        <w:t xml:space="preserve">Para </w:t>
      </w:r>
      <w:proofErr w:type="spellStart"/>
      <w:r w:rsidRPr="00141235">
        <w:rPr>
          <w:rFonts w:eastAsiaTheme="majorEastAsia"/>
          <w:iCs/>
          <w:color w:val="000000" w:themeColor="text1"/>
          <w:sz w:val="20"/>
          <w:szCs w:val="20"/>
          <w:u w:val="single"/>
          <w:lang w:val="en-US"/>
        </w:rPr>
        <w:t>más</w:t>
      </w:r>
      <w:proofErr w:type="spellEnd"/>
      <w:r w:rsidRPr="00141235">
        <w:rPr>
          <w:rFonts w:eastAsiaTheme="majorEastAsia"/>
          <w:iCs/>
          <w:color w:val="000000" w:themeColor="text1"/>
          <w:sz w:val="20"/>
          <w:szCs w:val="20"/>
          <w:u w:val="single"/>
          <w:lang w:val="en-US"/>
        </w:rPr>
        <w:t xml:space="preserve"> </w:t>
      </w:r>
      <w:proofErr w:type="spellStart"/>
      <w:r w:rsidRPr="00141235">
        <w:rPr>
          <w:rFonts w:eastAsiaTheme="majorEastAsia"/>
          <w:iCs/>
          <w:color w:val="000000" w:themeColor="text1"/>
          <w:sz w:val="20"/>
          <w:szCs w:val="20"/>
          <w:u w:val="single"/>
          <w:lang w:val="en-US"/>
        </w:rPr>
        <w:t>información</w:t>
      </w:r>
      <w:proofErr w:type="spellEnd"/>
      <w:r w:rsidRPr="00141235">
        <w:rPr>
          <w:rFonts w:eastAsiaTheme="majorEastAsia"/>
          <w:iCs/>
          <w:color w:val="000000" w:themeColor="text1"/>
          <w:sz w:val="20"/>
          <w:szCs w:val="20"/>
          <w:u w:val="single"/>
          <w:lang w:val="en-US"/>
        </w:rPr>
        <w:t xml:space="preserve">, </w:t>
      </w:r>
      <w:proofErr w:type="spellStart"/>
      <w:r w:rsidRPr="00141235">
        <w:rPr>
          <w:rFonts w:eastAsiaTheme="majorEastAsia"/>
          <w:iCs/>
          <w:color w:val="000000" w:themeColor="text1"/>
          <w:sz w:val="20"/>
          <w:szCs w:val="20"/>
          <w:u w:val="single"/>
          <w:lang w:val="en-US"/>
        </w:rPr>
        <w:t>por</w:t>
      </w:r>
      <w:proofErr w:type="spellEnd"/>
      <w:r w:rsidRPr="00141235">
        <w:rPr>
          <w:rFonts w:eastAsiaTheme="majorEastAsia"/>
          <w:iCs/>
          <w:color w:val="000000" w:themeColor="text1"/>
          <w:sz w:val="20"/>
          <w:szCs w:val="20"/>
          <w:u w:val="single"/>
          <w:lang w:val="en-US"/>
        </w:rPr>
        <w:t xml:space="preserve"> favor </w:t>
      </w:r>
      <w:proofErr w:type="spellStart"/>
      <w:r w:rsidRPr="00141235">
        <w:rPr>
          <w:rFonts w:eastAsiaTheme="majorEastAsia"/>
          <w:iCs/>
          <w:color w:val="000000" w:themeColor="text1"/>
          <w:sz w:val="20"/>
          <w:szCs w:val="20"/>
          <w:u w:val="single"/>
          <w:lang w:val="en-US"/>
        </w:rPr>
        <w:t>diríjase</w:t>
      </w:r>
      <w:proofErr w:type="spellEnd"/>
      <w:r w:rsidRPr="00141235">
        <w:rPr>
          <w:rFonts w:eastAsiaTheme="majorEastAsia"/>
          <w:iCs/>
          <w:color w:val="000000" w:themeColor="text1"/>
          <w:sz w:val="20"/>
          <w:szCs w:val="20"/>
          <w:u w:val="single"/>
          <w:lang w:val="en-US"/>
        </w:rPr>
        <w:t xml:space="preserve"> al:</w:t>
      </w:r>
      <w:r w:rsidRPr="00141235">
        <w:rPr>
          <w:sz w:val="20"/>
          <w:szCs w:val="20"/>
          <w:lang w:val="en-US"/>
        </w:rPr>
        <w:br/>
        <w:t xml:space="preserve">Fronius </w:t>
      </w:r>
      <w:proofErr w:type="spellStart"/>
      <w:r w:rsidRPr="00141235">
        <w:rPr>
          <w:sz w:val="20"/>
          <w:szCs w:val="20"/>
          <w:lang w:val="en-US"/>
        </w:rPr>
        <w:t>España</w:t>
      </w:r>
      <w:proofErr w:type="spellEnd"/>
      <w:r w:rsidRPr="00141235">
        <w:rPr>
          <w:sz w:val="20"/>
          <w:szCs w:val="20"/>
          <w:lang w:val="en-US"/>
        </w:rPr>
        <w:t xml:space="preserve"> S.L.U., Laura González</w:t>
      </w:r>
      <w:r w:rsidRPr="00141235">
        <w:rPr>
          <w:sz w:val="20"/>
          <w:szCs w:val="20"/>
          <w:lang w:val="en-US"/>
        </w:rPr>
        <w:br/>
        <w:t xml:space="preserve">Parque </w:t>
      </w:r>
      <w:proofErr w:type="spellStart"/>
      <w:r w:rsidRPr="00141235">
        <w:rPr>
          <w:sz w:val="20"/>
          <w:szCs w:val="20"/>
          <w:lang w:val="en-US"/>
        </w:rPr>
        <w:t>Empresarial</w:t>
      </w:r>
      <w:proofErr w:type="spellEnd"/>
      <w:r w:rsidRPr="00141235">
        <w:rPr>
          <w:sz w:val="20"/>
          <w:szCs w:val="20"/>
          <w:lang w:val="en-US"/>
        </w:rPr>
        <w:t xml:space="preserve"> La </w:t>
      </w:r>
      <w:proofErr w:type="spellStart"/>
      <w:r w:rsidRPr="00141235">
        <w:rPr>
          <w:sz w:val="20"/>
          <w:szCs w:val="20"/>
          <w:lang w:val="en-US"/>
        </w:rPr>
        <w:t>Carpetania</w:t>
      </w:r>
      <w:proofErr w:type="spellEnd"/>
      <w:r w:rsidRPr="00141235">
        <w:rPr>
          <w:sz w:val="20"/>
          <w:szCs w:val="20"/>
          <w:lang w:val="en-US"/>
        </w:rPr>
        <w:t>, c/ Miguel Faraday 2, 28906, Getafe (Madrid)</w:t>
      </w:r>
      <w:r w:rsidRPr="00141235">
        <w:rPr>
          <w:sz w:val="20"/>
          <w:szCs w:val="20"/>
          <w:lang w:val="en-US"/>
        </w:rPr>
        <w:br/>
      </w:r>
      <w:proofErr w:type="gramStart"/>
      <w:r w:rsidRPr="00141235">
        <w:rPr>
          <w:sz w:val="20"/>
          <w:szCs w:val="20"/>
          <w:lang w:val="en-US"/>
        </w:rPr>
        <w:t>Tel.:+</w:t>
      </w:r>
      <w:proofErr w:type="gramEnd"/>
      <w:r w:rsidRPr="00141235">
        <w:rPr>
          <w:sz w:val="20"/>
          <w:szCs w:val="20"/>
          <w:lang w:val="en-US"/>
        </w:rPr>
        <w:t xml:space="preserve">34 91 649 60 40; </w:t>
      </w:r>
      <w:r w:rsidRPr="00141235">
        <w:rPr>
          <w:sz w:val="20"/>
          <w:szCs w:val="20"/>
          <w:lang w:val="en-US"/>
        </w:rPr>
        <w:br/>
        <w:t>Fax:+34 91 649 60 44</w:t>
      </w:r>
      <w:r w:rsidRPr="00141235">
        <w:rPr>
          <w:sz w:val="20"/>
          <w:szCs w:val="20"/>
          <w:lang w:val="en-US"/>
        </w:rPr>
        <w:br/>
      </w:r>
      <w:proofErr w:type="spellStart"/>
      <w:r w:rsidRPr="00141235">
        <w:rPr>
          <w:sz w:val="20"/>
          <w:szCs w:val="20"/>
          <w:lang w:val="en-US"/>
        </w:rPr>
        <w:t>Correo</w:t>
      </w:r>
      <w:proofErr w:type="spellEnd"/>
      <w:r w:rsidRPr="00141235">
        <w:rPr>
          <w:sz w:val="20"/>
          <w:szCs w:val="20"/>
          <w:lang w:val="en-US"/>
        </w:rPr>
        <w:t xml:space="preserve"> </w:t>
      </w:r>
      <w:proofErr w:type="spellStart"/>
      <w:r w:rsidRPr="00141235">
        <w:rPr>
          <w:sz w:val="20"/>
          <w:szCs w:val="20"/>
          <w:lang w:val="en-US"/>
        </w:rPr>
        <w:t>electrónico</w:t>
      </w:r>
      <w:proofErr w:type="spellEnd"/>
      <w:r w:rsidRPr="00141235">
        <w:rPr>
          <w:sz w:val="20"/>
          <w:szCs w:val="20"/>
          <w:lang w:val="en-US"/>
        </w:rPr>
        <w:t xml:space="preserve">: </w:t>
      </w:r>
      <w:hyperlink r:id="rId12" w:history="1">
        <w:r w:rsidRPr="00141235">
          <w:rPr>
            <w:rStyle w:val="Hyperlink"/>
            <w:sz w:val="20"/>
            <w:szCs w:val="20"/>
            <w:lang w:val="en-US"/>
          </w:rPr>
          <w:t>gonzalez.laura@fronius.com</w:t>
        </w:r>
      </w:hyperlink>
    </w:p>
    <w:p w14:paraId="3F28D85F" w14:textId="77777777" w:rsidR="00141235" w:rsidRPr="00141235" w:rsidRDefault="00141235" w:rsidP="00141235">
      <w:pPr>
        <w:rPr>
          <w:sz w:val="20"/>
          <w:szCs w:val="20"/>
          <w:lang w:val="en-US"/>
        </w:rPr>
      </w:pPr>
    </w:p>
    <w:p w14:paraId="1D018151" w14:textId="77777777" w:rsidR="00141235" w:rsidRPr="00141235" w:rsidRDefault="00141235" w:rsidP="00141235">
      <w:pPr>
        <w:pStyle w:val="Textkrper2"/>
        <w:spacing w:after="0" w:line="240" w:lineRule="auto"/>
        <w:ind w:right="29"/>
        <w:rPr>
          <w:rFonts w:ascii="Noto Sans" w:eastAsiaTheme="majorEastAsia" w:hAnsi="Noto Sans" w:cs="Noto Sans"/>
          <w:iCs/>
          <w:color w:val="000000" w:themeColor="text1"/>
          <w:szCs w:val="20"/>
          <w:u w:val="single"/>
        </w:rPr>
      </w:pPr>
      <w:r w:rsidRPr="00141235">
        <w:rPr>
          <w:rFonts w:ascii="Noto Sans" w:eastAsiaTheme="majorEastAsia" w:hAnsi="Noto Sans" w:cs="Noto Sans"/>
          <w:iCs/>
          <w:color w:val="000000" w:themeColor="text1"/>
          <w:szCs w:val="20"/>
          <w:u w:val="single"/>
        </w:rPr>
        <w:t>Por favor, envíe un ejemplar de prueba a nuestra agencia:</w:t>
      </w:r>
    </w:p>
    <w:p w14:paraId="5DCABADE" w14:textId="77777777" w:rsidR="00141235" w:rsidRPr="00141235" w:rsidRDefault="00141235" w:rsidP="00141235">
      <w:pPr>
        <w:pStyle w:val="Textkrper2"/>
        <w:spacing w:after="0" w:line="240" w:lineRule="auto"/>
        <w:ind w:right="29"/>
        <w:rPr>
          <w:rFonts w:ascii="Noto Sans" w:hAnsi="Noto Sans" w:cs="Noto Sans"/>
          <w:szCs w:val="20"/>
        </w:rPr>
      </w:pPr>
      <w:r w:rsidRPr="00141235">
        <w:rPr>
          <w:rFonts w:ascii="Noto Sans" w:hAnsi="Noto Sans" w:cs="Noto Sans"/>
          <w:szCs w:val="20"/>
        </w:rPr>
        <w:t>a1kommunikation Schweizer GmbH, Señora Kirsten Ludwig,</w:t>
      </w:r>
    </w:p>
    <w:p w14:paraId="456FCA90" w14:textId="77777777" w:rsidR="00141235" w:rsidRPr="00141235" w:rsidRDefault="00141235" w:rsidP="00141235">
      <w:pPr>
        <w:pStyle w:val="Textkrper2"/>
        <w:spacing w:after="0" w:line="240" w:lineRule="auto"/>
        <w:ind w:right="29"/>
        <w:rPr>
          <w:rFonts w:ascii="Noto Sans" w:hAnsi="Noto Sans" w:cs="Noto Sans"/>
          <w:szCs w:val="20"/>
        </w:rPr>
      </w:pPr>
      <w:r w:rsidRPr="00141235">
        <w:rPr>
          <w:rFonts w:ascii="Noto Sans" w:hAnsi="Noto Sans" w:cs="Noto Sans"/>
          <w:szCs w:val="20"/>
        </w:rPr>
        <w:t>Oberdorfstraße 31 A, 70794 Filderstadt, Deutschland</w:t>
      </w:r>
    </w:p>
    <w:p w14:paraId="6CBAD013" w14:textId="77777777" w:rsidR="00141235" w:rsidRPr="00141235" w:rsidRDefault="00141235" w:rsidP="00141235">
      <w:pPr>
        <w:spacing w:after="0"/>
        <w:rPr>
          <w:rFonts w:eastAsia="PMingLiU"/>
          <w:sz w:val="20"/>
          <w:szCs w:val="20"/>
          <w:lang w:val="x-none" w:eastAsia="zh-TW"/>
        </w:rPr>
      </w:pPr>
      <w:r w:rsidRPr="00141235">
        <w:rPr>
          <w:rFonts w:eastAsia="PMingLiU"/>
          <w:sz w:val="20"/>
          <w:szCs w:val="20"/>
          <w:lang w:val="x-none" w:eastAsia="zh-TW"/>
        </w:rPr>
        <w:t>tel.: +49 711 9454161-20,</w:t>
      </w:r>
    </w:p>
    <w:p w14:paraId="55CD59F8" w14:textId="77777777" w:rsidR="00141235" w:rsidRPr="00141235" w:rsidRDefault="00141235" w:rsidP="00141235">
      <w:pPr>
        <w:spacing w:after="0"/>
        <w:rPr>
          <w:rStyle w:val="Hyperlink"/>
          <w:sz w:val="20"/>
          <w:szCs w:val="20"/>
          <w:lang w:val="x-none" w:eastAsia="zh-TW"/>
        </w:rPr>
      </w:pPr>
      <w:proofErr w:type="spellStart"/>
      <w:r w:rsidRPr="00141235">
        <w:rPr>
          <w:rFonts w:eastAsia="PMingLiU"/>
          <w:sz w:val="20"/>
          <w:szCs w:val="20"/>
          <w:lang w:val="x-none" w:eastAsia="zh-TW"/>
        </w:rPr>
        <w:t>correo</w:t>
      </w:r>
      <w:proofErr w:type="spellEnd"/>
      <w:r w:rsidRPr="00141235">
        <w:rPr>
          <w:rFonts w:eastAsia="PMingLiU"/>
          <w:sz w:val="20"/>
          <w:szCs w:val="20"/>
          <w:lang w:val="x-none" w:eastAsia="zh-TW"/>
        </w:rPr>
        <w:t xml:space="preserve"> </w:t>
      </w:r>
      <w:proofErr w:type="spellStart"/>
      <w:r w:rsidRPr="00141235">
        <w:rPr>
          <w:rFonts w:eastAsia="PMingLiU"/>
          <w:sz w:val="20"/>
          <w:szCs w:val="20"/>
          <w:lang w:val="x-none" w:eastAsia="zh-TW"/>
        </w:rPr>
        <w:t>electrónico</w:t>
      </w:r>
      <w:proofErr w:type="spellEnd"/>
      <w:r w:rsidRPr="00141235">
        <w:rPr>
          <w:rFonts w:eastAsia="PMingLiU"/>
          <w:sz w:val="20"/>
          <w:szCs w:val="20"/>
          <w:lang w:val="x-none" w:eastAsia="zh-TW"/>
        </w:rPr>
        <w:t xml:space="preserve">: </w:t>
      </w:r>
      <w:hyperlink r:id="rId13" w:history="1">
        <w:r w:rsidRPr="00141235">
          <w:rPr>
            <w:rStyle w:val="Hyperlink"/>
            <w:sz w:val="20"/>
            <w:szCs w:val="20"/>
            <w:lang w:val="x-none" w:eastAsia="zh-TW"/>
          </w:rPr>
          <w:t>k</w:t>
        </w:r>
        <w:r w:rsidRPr="00141235">
          <w:rPr>
            <w:rStyle w:val="Hyperlink"/>
            <w:rFonts w:eastAsia="PMingLiU"/>
            <w:sz w:val="20"/>
            <w:szCs w:val="20"/>
            <w:lang w:val="x-none" w:eastAsia="zh-TW"/>
          </w:rPr>
          <w:t>irsten.ludwig@a1kommunikation.de</w:t>
        </w:r>
      </w:hyperlink>
    </w:p>
    <w:p w14:paraId="42015CAE" w14:textId="77777777" w:rsidR="00141235" w:rsidRPr="00141235" w:rsidRDefault="00141235" w:rsidP="00141235">
      <w:pPr>
        <w:pStyle w:val="Textkrper2"/>
        <w:spacing w:after="0" w:line="240" w:lineRule="auto"/>
        <w:ind w:right="29"/>
        <w:rPr>
          <w:rFonts w:ascii="Noto Sans" w:hAnsi="Noto Sans" w:cs="Noto Sans"/>
          <w:szCs w:val="20"/>
          <w:lang w:val="en-US"/>
        </w:rPr>
      </w:pPr>
    </w:p>
    <w:p w14:paraId="494D5408" w14:textId="77777777" w:rsidR="00141235" w:rsidRPr="00141235" w:rsidRDefault="00141235" w:rsidP="00141235">
      <w:pPr>
        <w:rPr>
          <w:sz w:val="20"/>
          <w:szCs w:val="20"/>
          <w:lang w:val="pt-BR"/>
        </w:rPr>
      </w:pPr>
      <w:r w:rsidRPr="00141235">
        <w:rPr>
          <w:sz w:val="20"/>
          <w:szCs w:val="20"/>
          <w:lang w:val="pt-BR"/>
        </w:rPr>
        <w:t>¡Para leer otros artículos interesantes, visite nuestro blog en blog.perfectwelding.fronius.com y síganos en Facebook (froniuswelding), Twitter (froniusintweld), LinkedIn (perfect-welding), Instagram (froniuswelding) y YouTube (froniuswelding)!</w:t>
      </w:r>
    </w:p>
    <w:p w14:paraId="25FCA2DA" w14:textId="77777777" w:rsidR="00141235" w:rsidRDefault="00141235">
      <w:pPr>
        <w:jc w:val="both"/>
      </w:pPr>
    </w:p>
    <w:sectPr w:rsidR="00141235">
      <w:headerReference w:type="default" r:id="rId14"/>
      <w:footerReference w:type="default" r:id="rId15"/>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Gráfico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Campo de texto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Clase de información: pública</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Campo de texto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Clase de información: pública</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5"/>
    <w:rsid w:val="00141239"/>
    <w:rsid w:val="00153E62"/>
    <w:rsid w:val="0018477B"/>
    <w:rsid w:val="001E246D"/>
    <w:rsid w:val="00200AA8"/>
    <w:rsid w:val="00202493"/>
    <w:rsid w:val="00237169"/>
    <w:rsid w:val="002968C9"/>
    <w:rsid w:val="002B5D18"/>
    <w:rsid w:val="00331F38"/>
    <w:rsid w:val="00370A52"/>
    <w:rsid w:val="00375162"/>
    <w:rsid w:val="004B7F42"/>
    <w:rsid w:val="004C3056"/>
    <w:rsid w:val="004D0D77"/>
    <w:rsid w:val="004E21B3"/>
    <w:rsid w:val="004E230C"/>
    <w:rsid w:val="005010EB"/>
    <w:rsid w:val="00555EE0"/>
    <w:rsid w:val="005634D3"/>
    <w:rsid w:val="00570F69"/>
    <w:rsid w:val="00585EEA"/>
    <w:rsid w:val="005D343B"/>
    <w:rsid w:val="00654255"/>
    <w:rsid w:val="006626BC"/>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s-ES"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es-ES"/>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es-ES"/>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es-ES"/>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141235"/>
    <w:rPr>
      <w:color w:val="605E5C"/>
      <w:shd w:val="clear" w:color="auto" w:fill="E1DFDD"/>
    </w:rPr>
  </w:style>
  <w:style w:type="paragraph" w:styleId="StandardWeb">
    <w:name w:val="Normal (Web)"/>
    <w:basedOn w:val="Standard"/>
    <w:uiPriority w:val="99"/>
    <w:unhideWhenUsed/>
    <w:rsid w:val="0014123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lang w:val="de-AT"/>
      <w14:textOutline w14:w="0" w14:cap="rnd" w14:cmpd="sng" w14:algn="ctr">
        <w14:noFill/>
        <w14:prstDash w14:val="solid"/>
        <w14:bevel/>
      </w14:textOutline>
    </w:rPr>
  </w:style>
  <w:style w:type="paragraph" w:styleId="Textkrper2">
    <w:name w:val="Body Text 2"/>
    <w:basedOn w:val="Standard"/>
    <w:link w:val="Textkrper2Zchn"/>
    <w:rsid w:val="00141235"/>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eastAsia="PMingLiU" w:hAnsi="Arial" w:cs="Times New Roman"/>
      <w:color w:val="auto"/>
      <w:sz w:val="20"/>
      <w:szCs w:val="24"/>
      <w:bdr w:val="none" w:sz="0" w:space="0" w:color="auto"/>
      <w:lang w:eastAsia="zh-TW"/>
      <w14:textOutline w14:w="0" w14:cap="rnd" w14:cmpd="sng" w14:algn="ctr">
        <w14:noFill/>
        <w14:prstDash w14:val="solid"/>
        <w14:bevel/>
      </w14:textOutline>
    </w:rPr>
  </w:style>
  <w:style w:type="character" w:customStyle="1" w:styleId="Textkrper2Zchn">
    <w:name w:val="Textkörper 2 Zchn"/>
    <w:basedOn w:val="Absatz-Standardschriftart"/>
    <w:link w:val="Textkrper2"/>
    <w:rsid w:val="00141235"/>
    <w:rPr>
      <w:rFonts w:ascii="Arial" w:eastAsia="PMingLiU" w:hAnsi="Arial"/>
      <w:szCs w:val="24"/>
      <w:bdr w:val="none" w:sz="0" w:space="0" w:color="auto"/>
      <w:lang w:eastAsia="zh-TW"/>
    </w:rPr>
  </w:style>
  <w:style w:type="character" w:styleId="BesuchterLink">
    <w:name w:val="FollowedHyperlink"/>
    <w:basedOn w:val="Absatz-Standardschriftart"/>
    <w:uiPriority w:val="99"/>
    <w:semiHidden/>
    <w:unhideWhenUsed/>
    <w:rsid w:val="00141235"/>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kirsten.ludwig@a1kommunikation.de" TargetMode="External"/><Relationship Id="rId18" Type="http://schemas.openxmlformats.org/officeDocument/2006/relationships/customXml" Target="../customXml/item1.xml"/><Relationship Id="rId3" Type="http://schemas.openxmlformats.org/officeDocument/2006/relationships/webSettings" Target="web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gonzalez.laura@fronius.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yperlink" Target="https://www.fronius.com/es-es/spain/tecnologia-de-soldadura/informacion-del-producto/exento/exento-absauganlagen-highvac-lowvac?referer=productos"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Schweißrauchabsaugung Exento</title_TI_DE>
    <title_TI_NO xmlns="dc0c2c3d-e9fc-4a0d-820b-87ab82e65f20">welding fume extraction Exento</title_TI_NO>
    <Documenttype_PT xmlns="dc0c2c3d-e9fc-4a0d-820b-87ab82e65f20">Comunicado à imprensa</Documenttype_PT>
    <Documenttype_RU xmlns="dc0c2c3d-e9fc-4a0d-820b-87ab82e65f20">Пресс-релиз</Documenttype_RU>
    <title_TI_TR xmlns="dc0c2c3d-e9fc-4a0d-820b-87ab82e65f20">welding fume extraction Exento</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welding fume extraction Exento</title_TI_TH>
    <Licence_x0020_information xmlns="dc0c2c3d-e9fc-4a0d-820b-87ab82e65f20">(c) Fronius International</Licence_x0020_information>
    <title_TI_EA xmlns="dc0c2c3d-e9fc-4a0d-820b-87ab82e65f20">welding fume extraction Exento</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welding fume extraction Exento</title_TI_DA>
    <Documenttype_TR xmlns="dc0c2c3d-e9fc-4a0d-820b-87ab82e65f20">Basın bülteni</Documenttype_TR>
    <title_TI_PL xmlns="dc0c2c3d-e9fc-4a0d-820b-87ab82e65f20">welding fume extraction Exento</title_TI_PL>
    <Documenttype_TH xmlns="dc0c2c3d-e9fc-4a0d-820b-87ab82e65f20">ข่าวประชาสัมพันธ์</Documenttype_TH>
    <title_TI_EL xmlns="dc0c2c3d-e9fc-4a0d-820b-87ab82e65f20">welding fume extraction Exento</title_TI_EL>
    <Documenttype_EA xmlns="dc0c2c3d-e9fc-4a0d-820b-87ab82e65f20">Press Release</Documenttype_EA>
    <Web_x0020_Display_x0020_Title_x0020_ET xmlns="dc0c2c3d-e9fc-4a0d-820b-87ab82e65f20">welding fume extraction Exento</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welding fume extraction Exento</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welding fume extraction Exento</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C-138897</FileMaster>
    <title_TI_NL xmlns="dc0c2c3d-e9fc-4a0d-820b-87ab82e65f20">welding fume extraction Exento</title_TI_NL>
    <contentservId xmlns="53041210-5658-4a0d-8a74-f9413e00f15b">C-138899</contentservId>
    <title_TI_IT xmlns="dc0c2c3d-e9fc-4a0d-820b-87ab82e65f20">welding fume extraction Exento</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welding fume extraction Exento</title_TI_UA>
    <title_TI_JP xmlns="dc0c2c3d-e9fc-4a0d-820b-87ab82e65f20">welding fume extraction Exento</title_TI_JP>
    <Documenttype_NL xmlns="dc0c2c3d-e9fc-4a0d-820b-87ab82e65f20">Persbericht</Documenttype_NL>
    <title_TI_RO xmlns="dc0c2c3d-e9fc-4a0d-820b-87ab82e65f20">welding fume extraction Exento</title_TI_RO>
    <Documenttype_NB xmlns="dc0c2c3d-e9fc-4a0d-820b-87ab82e65f20">Presseinformasjon</Documenttype_NB>
    <title_ti_nb xmlns="dc0c2c3d-e9fc-4a0d-820b-87ab82e65f20" xsi:nil="true"/>
    <title_TI_ES xmlns="dc0c2c3d-e9fc-4a0d-820b-87ab82e65f20">welding fume extraction Exento</title_TI_ES>
    <title_TI_JA xmlns="dc0c2c3d-e9fc-4a0d-820b-87ab82e65f20">welding fume extraction Exento</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welding fume extraction Exento</title_TI_EN>
    <MRMKeyWords xmlns="dc0c2c3d-e9fc-4a0d-820b-87ab82e65f20">#Presseinformation#Schweißrauch#Schweissrauchabsaugung#Exento#Schweißrauchabsaugung#Press release#Welding fume#Welding fume extraction#Welding Fume Extraction#presseinformation#pressrelease#schweißrauch#exento#schweißrauchabsaugung#</MRMKeyWords>
    <title_ti_zh xmlns="dc0c2c3d-e9fc-4a0d-820b-87ab82e65f20">welding fume extraction Exento</title_ti_zh>
    <MRMID xmlns="dc0c2c3d-e9fc-4a0d-820b-87ab82e65f20">M-193389</MRMID>
    <Documenttype_UK xmlns="dc0c2c3d-e9fc-4a0d-820b-87ab82e65f20">Прес-релізи</Documenttype_UK>
    <title_TI_SK xmlns="dc0c2c3d-e9fc-4a0d-820b-87ab82e65f20">welding fume extraction Exento</title_TI_SK>
    <Documenttype_UA xmlns="dc0c2c3d-e9fc-4a0d-820b-87ab82e65f20">Прес-релізи</Documenttype_UA>
    <title_TI_HU xmlns="dc0c2c3d-e9fc-4a0d-820b-87ab82e65f20">welding fume extraction Exento</title_TI_HU>
    <Country_x0020_Quick_x0020_Select xmlns="dc0c2c3d-e9fc-4a0d-820b-87ab82e65f20">Select...</Country_x0020_Quick_x0020_Select>
    <title_ti_uk xmlns="dc0c2c3d-e9fc-4a0d-820b-87ab82e65f20" xsi:nil="true"/>
    <title_TI_PT xmlns="dc0c2c3d-e9fc-4a0d-820b-87ab82e65f20">welding fume extraction Exento</title_TI_PT>
    <title_ti_fi xmlns="dc0c2c3d-e9fc-4a0d-820b-87ab82e65f20">welding fume extraction Exento</title_ti_fi>
    <Country xmlns="dc0c2c3d-e9fc-4a0d-820b-87ab82e65f20">
      <Value>38</Value>
    </Country>
    <fro_spid xmlns="dc0c2c3d-e9fc-4a0d-820b-87ab82e65f20">17835;SE</fro_spid>
    <title_TI_RU xmlns="dc0c2c3d-e9fc-4a0d-820b-87ab82e65f20">welding fume extraction Exento</title_TI_RU>
    <Documenttype_JA xmlns="dc0c2c3d-e9fc-4a0d-820b-87ab82e65f20">ニュースリリース</Documenttype_JA>
    <Colour_x0020_space xmlns="dc0c2c3d-e9fc-4a0d-820b-87ab82e65f20" xsi:nil="true"/>
    <title_TI_CS xmlns="dc0c2c3d-e9fc-4a0d-820b-87ab82e65f20">welding fume extraction Exento</title_TI_CS>
    <title_TI_AR xmlns="dc0c2c3d-e9fc-4a0d-820b-87ab82e65f20">welding fume extraction Exento</title_TI_AR>
  </documentManagement>
</p:properties>
</file>

<file path=customXml/itemProps1.xml><?xml version="1.0" encoding="utf-8"?>
<ds:datastoreItem xmlns:ds="http://schemas.openxmlformats.org/officeDocument/2006/customXml" ds:itemID="{0E19C2F8-56A6-4543-98D9-4DD1BF52B3F3}"/>
</file>

<file path=customXml/itemProps2.xml><?xml version="1.0" encoding="utf-8"?>
<ds:datastoreItem xmlns:ds="http://schemas.openxmlformats.org/officeDocument/2006/customXml" ds:itemID="{CDDC7A4F-D28E-40AC-B3A4-FD27B66459A1}"/>
</file>

<file path=customXml/itemProps3.xml><?xml version="1.0" encoding="utf-8"?>
<ds:datastoreItem xmlns:ds="http://schemas.openxmlformats.org/officeDocument/2006/customXml" ds:itemID="{10665A04-1B54-4DF8-BA9D-0EDBD1DB9A89}"/>
</file>

<file path=customXml/itemProps4.xml><?xml version="1.0" encoding="utf-8"?>
<ds:datastoreItem xmlns:ds="http://schemas.openxmlformats.org/officeDocument/2006/customXml" ds:itemID="{31A509B4-2EDF-4297-84E3-C659BDD5073C}"/>
</file>

<file path=customXml/itemProps5.xml><?xml version="1.0" encoding="utf-8"?>
<ds:datastoreItem xmlns:ds="http://schemas.openxmlformats.org/officeDocument/2006/customXml" ds:itemID="{91CFCED1-0FDF-4992-914C-4083C1B44C7A}"/>
</file>

<file path=docProps/app.xml><?xml version="1.0" encoding="utf-8"?>
<Properties xmlns="http://schemas.openxmlformats.org/officeDocument/2006/extended-properties" xmlns:vt="http://schemas.openxmlformats.org/officeDocument/2006/docPropsVTypes">
  <Template>Normal.dotm</Template>
  <TotalTime>0</TotalTime>
  <Pages>5</Pages>
  <Words>1151</Words>
  <Characters>7256</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PW_PR_Exento_ES</dc:title>
  <dc:creator>Aitzetmueller Christian</dc:creator>
  <cp:lastModifiedBy>Pointner Karin</cp:lastModifiedBy>
  <cp:revision>4</cp:revision>
  <cp:lastPrinted>2022-10-24T08:11:00Z</cp:lastPrinted>
  <dcterms:created xsi:type="dcterms:W3CDTF">2022-10-25T08:25:00Z</dcterms:created>
  <dcterms:modified xsi:type="dcterms:W3CDTF">2022-11-14T10:59:00Z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259;##ES|dd4c9c45-94c3-4cf4-ab9c-523f2b58f76e</vt:lpwstr>
  </property>
  <property fmtid="{D5CDD505-2E9C-101B-9397-08002B2CF9AE}" pid="10" name="FroConDoc_language">
    <vt:lpwstr>1;#DE|676160ea-61f7-4cef-8b4c-1724dec2206e</vt:lpwstr>
  </property>
</Properties>
</file>