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header3.xml" ContentType="application/vnd.openxmlformats-officedocument.wordprocessingml.header+xml"/>
  <Override PartName="/word/header2.xml" ContentType="application/vnd.openxmlformats-officedocument.wordprocessingml.header+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footer3.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64785FA" w14:textId="77777777" w:rsidR="00377B4F" w:rsidRPr="00EF7D7C" w:rsidRDefault="00377B4F" w:rsidP="003F6E14">
      <w:pPr>
        <w:rPr>
          <w:rFonts w:cs="Arial"/>
          <w:lang w:val="de-DE"/>
        </w:rPr>
      </w:pPr>
    </w:p>
    <w:p w14:paraId="60EBC3AD" w14:textId="77777777" w:rsidR="006021F3" w:rsidRPr="00EF7D7C" w:rsidRDefault="006021F3" w:rsidP="003F6E14">
      <w:pPr>
        <w:rPr>
          <w:rFonts w:cs="Arial"/>
          <w:lang w:val="de-DE"/>
        </w:rPr>
      </w:pPr>
    </w:p>
    <w:p w14:paraId="4FBEA75A" w14:textId="77777777" w:rsidR="006021F3" w:rsidRPr="00EF7D7C" w:rsidRDefault="006021F3" w:rsidP="003F6E14">
      <w:pPr>
        <w:rPr>
          <w:rFonts w:cs="Arial"/>
          <w:lang w:val="de-DE"/>
        </w:rPr>
        <w:sectPr w:rsidR="006021F3" w:rsidRPr="00EF7D7C" w:rsidSect="008527B9">
          <w:headerReference w:type="even" r:id="rId8"/>
          <w:headerReference w:type="default" r:id="rId9"/>
          <w:footerReference w:type="even" r:id="rId10"/>
          <w:footerReference w:type="default" r:id="rId11"/>
          <w:headerReference w:type="first" r:id="rId12"/>
          <w:footerReference w:type="first" r:id="rId13"/>
          <w:pgSz w:w="11906" w:h="16838"/>
          <w:pgMar w:top="1977" w:right="746" w:bottom="1134" w:left="1260" w:header="708" w:footer="481" w:gutter="0"/>
          <w:cols w:space="708"/>
          <w:docGrid w:linePitch="360"/>
        </w:sectPr>
      </w:pPr>
    </w:p>
    <w:p w14:paraId="602709ED" w14:textId="41D3D7A2" w:rsidR="005B7715" w:rsidRPr="000A2764" w:rsidRDefault="00B95F9B" w:rsidP="003F6E14">
      <w:pPr>
        <w:pStyle w:val="berschrift1"/>
        <w:spacing w:before="0" w:after="0"/>
      </w:pPr>
      <w:r>
        <w:t>historia de aplicación</w:t>
      </w:r>
    </w:p>
    <w:p w14:paraId="54B4A7F5" w14:textId="77777777" w:rsidR="00A206DD" w:rsidRPr="000A2764" w:rsidRDefault="00A206DD" w:rsidP="003F6E14">
      <w:pPr>
        <w:rPr>
          <w:rFonts w:cs="Arial"/>
          <w:szCs w:val="20"/>
        </w:rPr>
      </w:pPr>
    </w:p>
    <w:p w14:paraId="319C3A32" w14:textId="77777777" w:rsidR="003F6E14" w:rsidRDefault="003F6E14" w:rsidP="003F6E14">
      <w:pPr>
        <w:pStyle w:val="Titel"/>
        <w:pBdr>
          <w:bottom w:val="none" w:sz="0" w:space="0" w:color="auto"/>
        </w:pBdr>
        <w:spacing w:after="0"/>
        <w:rPr>
          <w:rFonts w:ascii="Arial" w:hAnsi="Arial"/>
          <w:b/>
          <w:color w:val="000000"/>
          <w:sz w:val="28"/>
        </w:rPr>
      </w:pPr>
    </w:p>
    <w:p w14:paraId="4E35C4F4" w14:textId="77777777" w:rsidR="00B95F9B" w:rsidRPr="00B95F9B" w:rsidRDefault="00B95F9B" w:rsidP="00B95F9B">
      <w:pPr>
        <w:pStyle w:val="Titel"/>
        <w:pBdr>
          <w:bottom w:val="none" w:sz="0" w:space="0" w:color="auto"/>
        </w:pBdr>
        <w:spacing w:after="0"/>
        <w:rPr>
          <w:rFonts w:ascii="Arial" w:hAnsi="Arial"/>
          <w:b/>
          <w:color w:val="000000"/>
          <w:sz w:val="28"/>
        </w:rPr>
      </w:pPr>
      <w:r>
        <w:rPr>
          <w:rFonts w:ascii="Arial" w:hAnsi="Arial"/>
          <w:b/>
          <w:color w:val="000000"/>
          <w:sz w:val="28"/>
        </w:rPr>
        <w:t>Un incremento del 65 % en la productividad</w:t>
      </w:r>
    </w:p>
    <w:p w14:paraId="7FD1970F" w14:textId="77777777" w:rsidR="00B95F9B" w:rsidRPr="000A2764" w:rsidRDefault="00B95F9B" w:rsidP="00B95F9B">
      <w:pPr>
        <w:pStyle w:val="Titel"/>
        <w:pBdr>
          <w:bottom w:val="none" w:sz="0" w:space="0" w:color="auto"/>
        </w:pBdr>
        <w:spacing w:after="0"/>
        <w:rPr>
          <w:rFonts w:ascii="Arial" w:eastAsia="PMingLiU" w:hAnsi="Arial" w:cs="Arial"/>
          <w:b/>
          <w:color w:val="auto"/>
          <w:spacing w:val="0"/>
          <w:kern w:val="0"/>
          <w:sz w:val="20"/>
          <w:szCs w:val="20"/>
        </w:rPr>
      </w:pPr>
      <w:proofErr w:type="spellStart"/>
      <w:r>
        <w:rPr>
          <w:rFonts w:ascii="Arial" w:hAnsi="Arial"/>
          <w:b/>
          <w:color w:val="auto"/>
          <w:sz w:val="20"/>
        </w:rPr>
        <w:t>Painco</w:t>
      </w:r>
      <w:proofErr w:type="spellEnd"/>
      <w:r>
        <w:rPr>
          <w:rFonts w:ascii="Arial" w:hAnsi="Arial"/>
          <w:b/>
          <w:color w:val="auto"/>
          <w:sz w:val="20"/>
        </w:rPr>
        <w:t xml:space="preserve"> confía en la soldadura de alto rendimiento utilizando el TPS 600i</w:t>
      </w:r>
    </w:p>
    <w:p w14:paraId="34417517" w14:textId="77777777" w:rsidR="00B95F9B" w:rsidRPr="00B95F9B" w:rsidRDefault="00B95F9B" w:rsidP="00D52998">
      <w:pPr>
        <w:rPr>
          <w:rFonts w:cs="Arial"/>
          <w:szCs w:val="20"/>
        </w:rPr>
      </w:pPr>
    </w:p>
    <w:p w14:paraId="33FD2C93" w14:textId="77777777" w:rsidR="00D22247" w:rsidRPr="00B95F9B" w:rsidRDefault="00D22247" w:rsidP="00D52998">
      <w:pPr>
        <w:rPr>
          <w:rFonts w:cs="Arial"/>
          <w:szCs w:val="20"/>
        </w:rPr>
      </w:pPr>
    </w:p>
    <w:p w14:paraId="01BC7325" w14:textId="77777777" w:rsidR="00B95F9B" w:rsidRDefault="00B95F9B" w:rsidP="00B95F9B">
      <w:pPr>
        <w:rPr>
          <w:b/>
        </w:rPr>
      </w:pPr>
      <w:r>
        <w:rPr>
          <w:b/>
        </w:rPr>
        <w:t xml:space="preserve">La empresa brasileña </w:t>
      </w:r>
      <w:proofErr w:type="spellStart"/>
      <w:r>
        <w:rPr>
          <w:b/>
        </w:rPr>
        <w:t>Painco</w:t>
      </w:r>
      <w:proofErr w:type="spellEnd"/>
      <w:r>
        <w:rPr>
          <w:b/>
        </w:rPr>
        <w:t xml:space="preserve"> utiliza celdas de soldadura automatizada para producir componentes y ensambles soldados a partir de hojas de metal para diversos sectores, incluidas las industrias de maquinaria para la construcción y de transporte comercial. Sin embargo, recientemente la productividad de los robots tuvo que ser evaluada, ya que </w:t>
      </w:r>
      <w:proofErr w:type="spellStart"/>
      <w:r>
        <w:rPr>
          <w:b/>
        </w:rPr>
        <w:t>Painco</w:t>
      </w:r>
      <w:proofErr w:type="spellEnd"/>
      <w:r>
        <w:rPr>
          <w:b/>
        </w:rPr>
        <w:t xml:space="preserve"> pasaba por un periodo de crecimiento y era probable que sus sistemas de soldadura existentes ya no pudieran mantener el ritmo de una demanda en constante crecimiento. El fabricante encontró la solución perfecta en el TPS 600i.</w:t>
      </w:r>
    </w:p>
    <w:p w14:paraId="3599FD4D" w14:textId="77777777" w:rsidR="00B95F9B" w:rsidRDefault="00B95F9B" w:rsidP="00B95F9B">
      <w:pPr>
        <w:rPr>
          <w:b/>
        </w:rPr>
      </w:pPr>
    </w:p>
    <w:p w14:paraId="16B05641" w14:textId="77777777" w:rsidR="001762AF" w:rsidRPr="00147C28" w:rsidRDefault="001762AF" w:rsidP="00B95F9B">
      <w:pPr>
        <w:rPr>
          <w:b/>
        </w:rPr>
      </w:pPr>
    </w:p>
    <w:p w14:paraId="6F9748EA" w14:textId="77777777" w:rsidR="00B95F9B" w:rsidRDefault="00B95F9B" w:rsidP="00B95F9B">
      <w:r>
        <w:t xml:space="preserve">En todo el mundo, la digitalización y la automatización están creciendo en la industria de la fabricación. Brasil es un importante mercado en crecimiento y, como tal, también está invirtiendo fuertemente en tecnologías digitales. Rio das </w:t>
      </w:r>
      <w:proofErr w:type="spellStart"/>
      <w:r>
        <w:t>Pedras</w:t>
      </w:r>
      <w:proofErr w:type="spellEnd"/>
      <w:r>
        <w:t xml:space="preserve">, en São Paulo, es el hogar de las oficinas centrales de </w:t>
      </w:r>
      <w:proofErr w:type="spellStart"/>
      <w:r>
        <w:t>Painco</w:t>
      </w:r>
      <w:proofErr w:type="spellEnd"/>
      <w:r>
        <w:t xml:space="preserve">. La empresa también identificó la tendencia actual hacia la digitalización y automatización y, por ello, ha incorporado celdas de soldadura automatizada en su área de producción. Como un proveedor líder de componentes y ensambles soldados hechos a partir de placas de acero al carbono, </w:t>
      </w:r>
      <w:proofErr w:type="spellStart"/>
      <w:r>
        <w:t>Painco</w:t>
      </w:r>
      <w:proofErr w:type="spellEnd"/>
      <w:r>
        <w:t xml:space="preserve"> atiende a una amplia variedad de industrias, en particular a los sectores de maquinaria para la construcción y de transporte comercial. Los grosores de metal diseñados para aplicaciones extremas que se utilizan en estos sectores implican desafíos enormes para la empresa. </w:t>
      </w:r>
    </w:p>
    <w:p w14:paraId="0D273CCC" w14:textId="77777777" w:rsidR="00B95F9B" w:rsidRDefault="00B95F9B" w:rsidP="00B95F9B"/>
    <w:p w14:paraId="19D536F7" w14:textId="77777777" w:rsidR="00B95F9B" w:rsidRDefault="00B95F9B" w:rsidP="00B95F9B">
      <w:r>
        <w:t xml:space="preserve">Las células robotizadas tienen el potencial de incrementar la productividad enormemente, pero la empresa rápidamente descubrió que utilizar sistemas de soldadura con solo 350 amperes de potencia significaba que se perdían muchas de estas ventajas, ya que la calidad del cordón de soldadura y la velocidad de soldadura dejaban mucho que desear. Esto resultó en grandes números de rechazos, y la capacidad de producción en </w:t>
      </w:r>
      <w:proofErr w:type="spellStart"/>
      <w:r>
        <w:t>Painco</w:t>
      </w:r>
      <w:proofErr w:type="spellEnd"/>
      <w:r>
        <w:t xml:space="preserve"> se estancó.</w:t>
      </w:r>
    </w:p>
    <w:p w14:paraId="23AA623F" w14:textId="77777777" w:rsidR="00B95F9B" w:rsidRDefault="00B95F9B" w:rsidP="00B95F9B"/>
    <w:p w14:paraId="5A87CD6C" w14:textId="2F597FBA" w:rsidR="00B95F9B" w:rsidRPr="00206868" w:rsidRDefault="00B95F9B" w:rsidP="00B95F9B">
      <w:pPr>
        <w:rPr>
          <w:b/>
        </w:rPr>
      </w:pPr>
      <w:r>
        <w:rPr>
          <w:b/>
        </w:rPr>
        <w:t>Más potencia, no más robots</w:t>
      </w:r>
    </w:p>
    <w:p w14:paraId="04B4DA13" w14:textId="77777777" w:rsidR="000A2764" w:rsidRDefault="000A2764" w:rsidP="00B95F9B"/>
    <w:p w14:paraId="26E08D77" w14:textId="77777777" w:rsidR="00B95F9B" w:rsidRDefault="00B95F9B" w:rsidP="00B95F9B">
      <w:r>
        <w:t xml:space="preserve">En lugar de agregar más células robotizadas, todo lo que se requería para poder producir las cantidades deseadas era reemplazar los sistemas de soldadura existentes. La fuente de poder Fronius TPS 600i era el sistema adecuado para el trabajo: su potencia máxima de hasta 600 amperes combinada con la transición a la variante del proceso Pulse </w:t>
      </w:r>
      <w:proofErr w:type="spellStart"/>
      <w:r>
        <w:t>Multi</w:t>
      </w:r>
      <w:proofErr w:type="spellEnd"/>
      <w:r>
        <w:t xml:space="preserve"> Control (PMC) significaba que los resultados deseados podían lograrse. </w:t>
      </w:r>
    </w:p>
    <w:p w14:paraId="3554054D" w14:textId="77777777" w:rsidR="00B95F9B" w:rsidRPr="00A0596A" w:rsidRDefault="00B95F9B" w:rsidP="00B95F9B"/>
    <w:p w14:paraId="0F9FD0EC" w14:textId="77777777" w:rsidR="00B95F9B" w:rsidRPr="00633FF9" w:rsidRDefault="00B95F9B" w:rsidP="00B95F9B">
      <w:pPr>
        <w:rPr>
          <w:b/>
        </w:rPr>
      </w:pPr>
      <w:proofErr w:type="spellStart"/>
      <w:r>
        <w:rPr>
          <w:b/>
        </w:rPr>
        <w:t>Painco</w:t>
      </w:r>
      <w:proofErr w:type="spellEnd"/>
      <w:r>
        <w:rPr>
          <w:b/>
        </w:rPr>
        <w:t xml:space="preserve"> y PMC</w:t>
      </w:r>
    </w:p>
    <w:p w14:paraId="291EB397" w14:textId="77777777" w:rsidR="000A2764" w:rsidRDefault="000A2764" w:rsidP="00B95F9B"/>
    <w:p w14:paraId="011E942D" w14:textId="1EFD62AB" w:rsidR="00B95F9B" w:rsidRPr="00D17BF1" w:rsidRDefault="00B95F9B" w:rsidP="00B95F9B">
      <w:r>
        <w:t xml:space="preserve">Al comprar el equipo de soldadura, la empresa deliberadamente decidió mejorar al paquete de soldadura Pulse </w:t>
      </w:r>
      <w:proofErr w:type="spellStart"/>
      <w:r>
        <w:t>Multi</w:t>
      </w:r>
      <w:proofErr w:type="spellEnd"/>
      <w:r>
        <w:t xml:space="preserve"> Control (PMC). En sus instalaciones de producción recientemente equipadas, </w:t>
      </w:r>
      <w:proofErr w:type="spellStart"/>
      <w:r>
        <w:t>Painco</w:t>
      </w:r>
      <w:proofErr w:type="spellEnd"/>
      <w:r>
        <w:t xml:space="preserve"> descubrió que el arco voltaico pulsado mejoró significativamente la transferencia de material, permitiendo que las velocidades de soldadura se incrementaran notablemente. Además, notaron dos efectos laterales destacados: „Pudimos detectar una aportación de calor significativamente menor, y una reducción en las proyecciones de soldadura. Esto dio como resultado cordones de soldadura más bajos con muchos menos rechazos, lo que nos permitió incrementar nuestra productividad aún más (¡hasta un 65 por ciento!). Esto nos ahorra alrededor de 120 horas de trabajo al mes“, dice el gerente de operaciones Rafael Severino visiblemente emocionado. „Al mismo tiempo, invertir en los dispositivos nuevos fue mucho más económico que comprar células robotizadas adicionales“. </w:t>
      </w:r>
    </w:p>
    <w:p w14:paraId="3A50CACA" w14:textId="77777777" w:rsidR="0002482B" w:rsidRPr="00B95F9B" w:rsidRDefault="0002482B" w:rsidP="00D52998">
      <w:pPr>
        <w:rPr>
          <w:rFonts w:cs="Arial"/>
          <w:szCs w:val="20"/>
        </w:rPr>
      </w:pPr>
    </w:p>
    <w:p w14:paraId="136EDB9E" w14:textId="77777777" w:rsidR="00D52998" w:rsidRPr="00B95F9B" w:rsidRDefault="00D52998" w:rsidP="00A3378D">
      <w:pPr>
        <w:rPr>
          <w:rFonts w:cs="Arial"/>
          <w:szCs w:val="20"/>
        </w:rPr>
      </w:pPr>
    </w:p>
    <w:p w14:paraId="7C8088C8" w14:textId="0C1C8D45" w:rsidR="0006607B" w:rsidRPr="000A2764" w:rsidRDefault="00283ACD" w:rsidP="0006607B">
      <w:pPr>
        <w:rPr>
          <w:rFonts w:cs="Arial"/>
          <w:i/>
          <w:szCs w:val="20"/>
        </w:rPr>
      </w:pPr>
      <w:r>
        <w:rPr>
          <w:i/>
        </w:rPr>
        <w:t>3.422</w:t>
      </w:r>
      <w:r w:rsidR="001762AF">
        <w:rPr>
          <w:i/>
        </w:rPr>
        <w:t xml:space="preserve"> caracteres</w:t>
      </w:r>
    </w:p>
    <w:p w14:paraId="1BE92517" w14:textId="77777777" w:rsidR="0073576C" w:rsidRDefault="0073576C" w:rsidP="00A3378D">
      <w:pPr>
        <w:rPr>
          <w:rFonts w:cs="Arial"/>
          <w:szCs w:val="20"/>
        </w:rPr>
      </w:pPr>
    </w:p>
    <w:p w14:paraId="4180B628" w14:textId="77777777" w:rsidR="001762AF" w:rsidRPr="000A2764" w:rsidRDefault="001762AF" w:rsidP="00A3378D">
      <w:pPr>
        <w:rPr>
          <w:rFonts w:cs="Arial"/>
          <w:szCs w:val="20"/>
        </w:rPr>
      </w:pPr>
    </w:p>
    <w:p w14:paraId="258613EE" w14:textId="77777777" w:rsidR="00283ACD" w:rsidRDefault="00283ACD">
      <w:pPr>
        <w:rPr>
          <w:b/>
          <w:i/>
        </w:rPr>
      </w:pPr>
      <w:r>
        <w:rPr>
          <w:b/>
          <w:i/>
        </w:rPr>
        <w:br w:type="page"/>
      </w:r>
    </w:p>
    <w:p w14:paraId="05BD4743" w14:textId="3E64365B" w:rsidR="001762AF" w:rsidRPr="001762AF" w:rsidRDefault="001762AF" w:rsidP="001762AF">
      <w:pPr>
        <w:rPr>
          <w:i/>
        </w:rPr>
      </w:pPr>
      <w:r>
        <w:rPr>
          <w:b/>
          <w:i/>
        </w:rPr>
        <w:lastRenderedPageBreak/>
        <w:t>Título de navegación:</w:t>
      </w:r>
      <w:r>
        <w:rPr>
          <w:i/>
        </w:rPr>
        <w:t xml:space="preserve"> Reporte de usuario: TPS600i en </w:t>
      </w:r>
      <w:proofErr w:type="spellStart"/>
      <w:r>
        <w:rPr>
          <w:i/>
        </w:rPr>
        <w:t>Painco</w:t>
      </w:r>
      <w:proofErr w:type="spellEnd"/>
      <w:r>
        <w:rPr>
          <w:i/>
        </w:rPr>
        <w:t xml:space="preserve"> </w:t>
      </w:r>
    </w:p>
    <w:p w14:paraId="496399E6" w14:textId="77777777" w:rsidR="001762AF" w:rsidRPr="00D85E68" w:rsidRDefault="001762AF" w:rsidP="001762AF">
      <w:pPr>
        <w:rPr>
          <w:i/>
        </w:rPr>
      </w:pPr>
      <w:r>
        <w:rPr>
          <w:b/>
          <w:i/>
        </w:rPr>
        <w:t>Nombre de visualización:</w:t>
      </w:r>
      <w:r>
        <w:rPr>
          <w:i/>
        </w:rPr>
        <w:t xml:space="preserve"> painco-tps600i</w:t>
      </w:r>
    </w:p>
    <w:p w14:paraId="0D13EE1D" w14:textId="76309994" w:rsidR="001762AF" w:rsidRPr="001762AF" w:rsidRDefault="001762AF" w:rsidP="001762AF">
      <w:pPr>
        <w:rPr>
          <w:i/>
        </w:rPr>
      </w:pPr>
      <w:r>
        <w:rPr>
          <w:b/>
          <w:i/>
        </w:rPr>
        <w:t>Título meta:</w:t>
      </w:r>
      <w:r>
        <w:rPr>
          <w:i/>
        </w:rPr>
        <w:t xml:space="preserve"> </w:t>
      </w:r>
      <w:proofErr w:type="spellStart"/>
      <w:r>
        <w:rPr>
          <w:i/>
        </w:rPr>
        <w:t>Painco</w:t>
      </w:r>
      <w:proofErr w:type="spellEnd"/>
      <w:r>
        <w:rPr>
          <w:i/>
        </w:rPr>
        <w:t xml:space="preserve"> aumenta su productividad un 65 % con Fronius</w:t>
      </w:r>
    </w:p>
    <w:p w14:paraId="3BF5430B" w14:textId="0BCE0F92" w:rsidR="001762AF" w:rsidRPr="001762AF" w:rsidRDefault="001762AF" w:rsidP="001762AF">
      <w:pPr>
        <w:rPr>
          <w:i/>
        </w:rPr>
      </w:pPr>
      <w:r>
        <w:rPr>
          <w:b/>
          <w:i/>
        </w:rPr>
        <w:t>Descripción meta:</w:t>
      </w:r>
      <w:r>
        <w:rPr>
          <w:i/>
        </w:rPr>
        <w:t xml:space="preserve"> Producción eficiente de componentes para maquinaria para la construcción y transporte comercial: el sistema de soldadura de alto rendimiento TPS600i de </w:t>
      </w:r>
      <w:proofErr w:type="spellStart"/>
      <w:r>
        <w:rPr>
          <w:i/>
        </w:rPr>
        <w:t>Fronius</w:t>
      </w:r>
      <w:proofErr w:type="spellEnd"/>
      <w:r>
        <w:rPr>
          <w:i/>
        </w:rPr>
        <w:t xml:space="preserve"> en </w:t>
      </w:r>
      <w:proofErr w:type="spellStart"/>
      <w:r>
        <w:rPr>
          <w:i/>
        </w:rPr>
        <w:t>Painco</w:t>
      </w:r>
      <w:proofErr w:type="spellEnd"/>
    </w:p>
    <w:p w14:paraId="5A40AC2F" w14:textId="77777777" w:rsidR="0073576C" w:rsidRPr="00D85E68" w:rsidRDefault="0073576C" w:rsidP="00A3378D">
      <w:pPr>
        <w:rPr>
          <w:rFonts w:cs="Arial"/>
          <w:szCs w:val="20"/>
        </w:rPr>
      </w:pPr>
    </w:p>
    <w:p w14:paraId="57063F23" w14:textId="77777777" w:rsidR="00B95F9B" w:rsidRPr="000A2764" w:rsidRDefault="00B95F9B" w:rsidP="00B95F9B">
      <w:pPr>
        <w:rPr>
          <w:rFonts w:cs="Arial"/>
          <w:b/>
          <w:szCs w:val="20"/>
        </w:rPr>
      </w:pPr>
      <w:r>
        <w:rPr>
          <w:b/>
        </w:rPr>
        <w:t xml:space="preserve">Subtítulos de imágenes: </w:t>
      </w:r>
    </w:p>
    <w:p w14:paraId="734E4BC5" w14:textId="77777777" w:rsidR="00A00FA7" w:rsidRPr="000A2764" w:rsidRDefault="00A00FA7" w:rsidP="003F6E14">
      <w:pPr>
        <w:rPr>
          <w:rFonts w:cs="Arial"/>
          <w:b/>
          <w:szCs w:val="20"/>
        </w:rPr>
      </w:pPr>
    </w:p>
    <w:p w14:paraId="67FA1536" w14:textId="4F396ED3" w:rsidR="00233592" w:rsidRPr="000A2764" w:rsidRDefault="001762AF" w:rsidP="003F6E14">
      <w:pPr>
        <w:rPr>
          <w:rFonts w:cs="Arial"/>
          <w:b/>
          <w:szCs w:val="20"/>
        </w:rPr>
      </w:pPr>
      <w:r>
        <w:rPr>
          <w:rFonts w:ascii="Century Gothic" w:hAnsi="Century Gothic"/>
          <w:noProof/>
          <w:color w:val="000000" w:themeColor="text1"/>
          <w:sz w:val="24"/>
          <w:lang w:val="de-AT" w:eastAsia="de-AT"/>
        </w:rPr>
        <w:drawing>
          <wp:inline distT="0" distB="0" distL="0" distR="0" wp14:anchorId="695D85CB" wp14:editId="43E2A13A">
            <wp:extent cx="2242553" cy="1258784"/>
            <wp:effectExtent l="0" t="0" r="5715" b="0"/>
            <wp:docPr id="4"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ronius TPSI CMT.jpg"/>
                    <pic:cNvPicPr/>
                  </pic:nvPicPr>
                  <pic:blipFill>
                    <a:blip r:embed="rId14" cstate="screen">
                      <a:extLst>
                        <a:ext uri="{28A0092B-C50C-407E-A947-70E740481C1C}">
                          <a14:useLocalDpi xmlns:a14="http://schemas.microsoft.com/office/drawing/2010/main"/>
                        </a:ext>
                      </a:extLst>
                    </a:blip>
                    <a:stretch>
                      <a:fillRect/>
                    </a:stretch>
                  </pic:blipFill>
                  <pic:spPr bwMode="auto">
                    <a:xfrm>
                      <a:off x="0" y="0"/>
                      <a:ext cx="2269530" cy="1273927"/>
                    </a:xfrm>
                    <a:prstGeom prst="rect">
                      <a:avLst/>
                    </a:prstGeom>
                    <a:ln>
                      <a:noFill/>
                    </a:ln>
                    <a:extLst>
                      <a:ext uri="{53640926-AAD7-44D8-BBD7-CCE9431645EC}">
                        <a14:shadowObscured xmlns:a14="http://schemas.microsoft.com/office/drawing/2010/main"/>
                      </a:ext>
                    </a:extLst>
                  </pic:spPr>
                </pic:pic>
              </a:graphicData>
            </a:graphic>
          </wp:inline>
        </w:drawing>
      </w:r>
    </w:p>
    <w:p w14:paraId="04792A2F" w14:textId="1FEC8303" w:rsidR="00233592" w:rsidRDefault="00B95F9B" w:rsidP="003F6E14">
      <w:pPr>
        <w:rPr>
          <w:rFonts w:cs="Arial"/>
          <w:b/>
          <w:szCs w:val="20"/>
        </w:rPr>
      </w:pPr>
      <w:r>
        <w:rPr>
          <w:b/>
        </w:rPr>
        <w:t xml:space="preserve">Imagen 1: </w:t>
      </w:r>
      <w:r>
        <w:rPr>
          <w:color w:val="000000" w:themeColor="text1"/>
        </w:rPr>
        <w:t>El TPS 600i y el paquete de soldadura PMC en uso en una excavadora.</w:t>
      </w:r>
    </w:p>
    <w:p w14:paraId="1C1CFCD8" w14:textId="77777777" w:rsidR="001762AF" w:rsidRDefault="001762AF" w:rsidP="003F6E14">
      <w:pPr>
        <w:rPr>
          <w:rFonts w:cs="Arial"/>
          <w:b/>
          <w:szCs w:val="20"/>
        </w:rPr>
      </w:pPr>
    </w:p>
    <w:p w14:paraId="2FC4EE58" w14:textId="77777777" w:rsidR="001762AF" w:rsidRPr="00D85E68" w:rsidRDefault="001762AF" w:rsidP="001762AF">
      <w:pPr>
        <w:rPr>
          <w:rFonts w:cstheme="minorHAnsi"/>
          <w:color w:val="000000" w:themeColor="text1"/>
        </w:rPr>
      </w:pPr>
      <w:r>
        <w:rPr>
          <w:noProof/>
          <w:lang w:val="de-AT" w:eastAsia="de-AT"/>
        </w:rPr>
        <w:drawing>
          <wp:inline distT="0" distB="0" distL="0" distR="0" wp14:anchorId="1ADF81C3" wp14:editId="0B81E6D7">
            <wp:extent cx="2232025" cy="1253316"/>
            <wp:effectExtent l="0" t="0" r="0" b="444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screen">
                      <a:extLst>
                        <a:ext uri="{28A0092B-C50C-407E-A947-70E740481C1C}">
                          <a14:useLocalDpi xmlns:a14="http://schemas.microsoft.com/office/drawing/2010/main"/>
                        </a:ext>
                      </a:extLst>
                    </a:blip>
                    <a:stretch>
                      <a:fillRect/>
                    </a:stretch>
                  </pic:blipFill>
                  <pic:spPr>
                    <a:xfrm>
                      <a:off x="0" y="0"/>
                      <a:ext cx="2252034" cy="1264551"/>
                    </a:xfrm>
                    <a:prstGeom prst="rect">
                      <a:avLst/>
                    </a:prstGeom>
                  </pic:spPr>
                </pic:pic>
              </a:graphicData>
            </a:graphic>
          </wp:inline>
        </w:drawing>
      </w:r>
      <w:r>
        <w:rPr>
          <w:color w:val="000000" w:themeColor="text1"/>
        </w:rPr>
        <w:t xml:space="preserve">  </w:t>
      </w:r>
      <w:r>
        <w:rPr>
          <w:noProof/>
          <w:lang w:val="de-AT" w:eastAsia="de-AT"/>
        </w:rPr>
        <w:drawing>
          <wp:inline distT="0" distB="0" distL="0" distR="0" wp14:anchorId="11818725" wp14:editId="312A6365">
            <wp:extent cx="2238499" cy="1253334"/>
            <wp:effectExtent l="0" t="0" r="0" b="4445"/>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screen">
                      <a:extLst>
                        <a:ext uri="{28A0092B-C50C-407E-A947-70E740481C1C}">
                          <a14:useLocalDpi xmlns:a14="http://schemas.microsoft.com/office/drawing/2010/main"/>
                        </a:ext>
                      </a:extLst>
                    </a:blip>
                    <a:stretch>
                      <a:fillRect/>
                    </a:stretch>
                  </pic:blipFill>
                  <pic:spPr>
                    <a:xfrm>
                      <a:off x="0" y="0"/>
                      <a:ext cx="2274042" cy="1273235"/>
                    </a:xfrm>
                    <a:prstGeom prst="rect">
                      <a:avLst/>
                    </a:prstGeom>
                  </pic:spPr>
                </pic:pic>
              </a:graphicData>
            </a:graphic>
          </wp:inline>
        </w:drawing>
      </w:r>
    </w:p>
    <w:p w14:paraId="16EA966D" w14:textId="4A22E518" w:rsidR="001762AF" w:rsidRPr="001762AF" w:rsidRDefault="001762AF" w:rsidP="001762AF">
      <w:pPr>
        <w:rPr>
          <w:rFonts w:cstheme="minorHAnsi"/>
          <w:color w:val="000000" w:themeColor="text1"/>
        </w:rPr>
      </w:pPr>
      <w:r>
        <w:rPr>
          <w:b/>
          <w:color w:val="000000" w:themeColor="text1"/>
        </w:rPr>
        <w:t>Imágenes 2 y 3:</w:t>
      </w:r>
      <w:r>
        <w:rPr>
          <w:color w:val="000000" w:themeColor="text1"/>
        </w:rPr>
        <w:t xml:space="preserve"> </w:t>
      </w:r>
      <w:proofErr w:type="spellStart"/>
      <w:r>
        <w:rPr>
          <w:color w:val="000000" w:themeColor="text1"/>
        </w:rPr>
        <w:t>Painco</w:t>
      </w:r>
      <w:proofErr w:type="spellEnd"/>
      <w:r>
        <w:rPr>
          <w:color w:val="000000" w:themeColor="text1"/>
        </w:rPr>
        <w:t xml:space="preserve"> se beneficia con las funciones inteligentes de la plataforma moderna del sistema, la cual ofrece un proceso de soldadura extremadamente estable.</w:t>
      </w:r>
    </w:p>
    <w:p w14:paraId="4401EB46" w14:textId="77777777" w:rsidR="001762AF" w:rsidRPr="00D85E68" w:rsidRDefault="001762AF" w:rsidP="001762AF">
      <w:pPr>
        <w:rPr>
          <w:rFonts w:cstheme="minorHAnsi"/>
          <w:color w:val="000000" w:themeColor="text1"/>
        </w:rPr>
      </w:pPr>
    </w:p>
    <w:p w14:paraId="18ABB72C" w14:textId="77777777" w:rsidR="001762AF" w:rsidRDefault="001762AF" w:rsidP="001762AF">
      <w:pPr>
        <w:rPr>
          <w:rFonts w:cstheme="minorHAnsi"/>
          <w:color w:val="000000" w:themeColor="text1"/>
        </w:rPr>
      </w:pPr>
      <w:r>
        <w:rPr>
          <w:noProof/>
          <w:lang w:val="de-AT" w:eastAsia="de-AT"/>
        </w:rPr>
        <w:drawing>
          <wp:inline distT="0" distB="0" distL="0" distR="0" wp14:anchorId="4233E213" wp14:editId="5B74B836">
            <wp:extent cx="2232561" cy="1260382"/>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screen">
                      <a:extLst>
                        <a:ext uri="{28A0092B-C50C-407E-A947-70E740481C1C}">
                          <a14:useLocalDpi xmlns:a14="http://schemas.microsoft.com/office/drawing/2010/main"/>
                        </a:ext>
                      </a:extLst>
                    </a:blip>
                    <a:stretch>
                      <a:fillRect/>
                    </a:stretch>
                  </pic:blipFill>
                  <pic:spPr>
                    <a:xfrm>
                      <a:off x="0" y="0"/>
                      <a:ext cx="2244076" cy="1266883"/>
                    </a:xfrm>
                    <a:prstGeom prst="rect">
                      <a:avLst/>
                    </a:prstGeom>
                  </pic:spPr>
                </pic:pic>
              </a:graphicData>
            </a:graphic>
          </wp:inline>
        </w:drawing>
      </w:r>
    </w:p>
    <w:p w14:paraId="0E9EC531" w14:textId="4F6AD1F2" w:rsidR="001762AF" w:rsidRPr="00AD095E" w:rsidRDefault="001762AF" w:rsidP="001762AF">
      <w:pPr>
        <w:rPr>
          <w:rFonts w:cstheme="minorHAnsi"/>
          <w:color w:val="000000" w:themeColor="text1"/>
        </w:rPr>
      </w:pPr>
      <w:r>
        <w:rPr>
          <w:b/>
          <w:color w:val="000000" w:themeColor="text1"/>
        </w:rPr>
        <w:t>Imagen 4:</w:t>
      </w:r>
      <w:r>
        <w:rPr>
          <w:color w:val="000000" w:themeColor="text1"/>
        </w:rPr>
        <w:t xml:space="preserve"> </w:t>
      </w:r>
      <w:proofErr w:type="spellStart"/>
      <w:r>
        <w:rPr>
          <w:color w:val="000000" w:themeColor="text1"/>
        </w:rPr>
        <w:t>Painco</w:t>
      </w:r>
      <w:proofErr w:type="spellEnd"/>
      <w:r>
        <w:rPr>
          <w:color w:val="000000" w:themeColor="text1"/>
        </w:rPr>
        <w:t xml:space="preserve"> en </w:t>
      </w:r>
      <w:r>
        <w:t xml:space="preserve">Rio das </w:t>
      </w:r>
      <w:proofErr w:type="spellStart"/>
      <w:r>
        <w:t>Pedras</w:t>
      </w:r>
      <w:proofErr w:type="spellEnd"/>
      <w:r>
        <w:t>, São Paulo</w:t>
      </w:r>
    </w:p>
    <w:p w14:paraId="7BFF90BC" w14:textId="77777777" w:rsidR="001762AF" w:rsidRPr="00AD095E" w:rsidRDefault="001762AF" w:rsidP="001762AF">
      <w:pPr>
        <w:rPr>
          <w:rFonts w:cstheme="minorHAnsi"/>
          <w:color w:val="000000" w:themeColor="text1"/>
          <w:lang w:val="pt-BR"/>
        </w:rPr>
      </w:pPr>
    </w:p>
    <w:p w14:paraId="16607562" w14:textId="77777777" w:rsidR="001762AF" w:rsidRDefault="001762AF" w:rsidP="001762AF">
      <w:pPr>
        <w:rPr>
          <w:rFonts w:cstheme="minorHAnsi"/>
          <w:color w:val="000000" w:themeColor="text1"/>
        </w:rPr>
      </w:pPr>
      <w:r>
        <w:rPr>
          <w:b/>
          <w:noProof/>
          <w:lang w:val="de-AT" w:eastAsia="de-AT"/>
        </w:rPr>
        <w:drawing>
          <wp:inline distT="0" distB="0" distL="0" distR="0" wp14:anchorId="27CBCA22" wp14:editId="50163E03">
            <wp:extent cx="2232025" cy="1255709"/>
            <wp:effectExtent l="0" t="0" r="0" b="1905"/>
            <wp:docPr id="1" name="Grafik 1" descr="Y:\Spartenmarketing\01. Team Kommunikation\002. Fach-PR\010_Fach-PR\Fach-PR (extern)\Anwenderreportagen\2019\Painco_Brazil (TPSi600, yellow goods)_erledigt\MRM\Fronius_Painco_8_Rafael Severin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Y:\Spartenmarketing\01. Team Kommunikation\002. Fach-PR\010_Fach-PR\Fach-PR (extern)\Anwenderreportagen\2019\Painco_Brazil (TPSi600, yellow goods)_erledigt\MRM\Fronius_Painco_8_Rafael Severino.jpg"/>
                    <pic:cNvPicPr>
                      <a:picLocks noChangeAspect="1" noChangeArrowheads="1"/>
                    </pic:cNvPicPr>
                  </pic:nvPicPr>
                  <pic:blipFill>
                    <a:blip r:embed="rId18" cstate="screen">
                      <a:extLst>
                        <a:ext uri="{28A0092B-C50C-407E-A947-70E740481C1C}">
                          <a14:useLocalDpi xmlns:a14="http://schemas.microsoft.com/office/drawing/2010/main"/>
                        </a:ext>
                      </a:extLst>
                    </a:blip>
                    <a:srcRect/>
                    <a:stretch>
                      <a:fillRect/>
                    </a:stretch>
                  </pic:blipFill>
                  <pic:spPr bwMode="auto">
                    <a:xfrm>
                      <a:off x="0" y="0"/>
                      <a:ext cx="2263907" cy="1273645"/>
                    </a:xfrm>
                    <a:prstGeom prst="rect">
                      <a:avLst/>
                    </a:prstGeom>
                    <a:noFill/>
                    <a:ln>
                      <a:noFill/>
                    </a:ln>
                  </pic:spPr>
                </pic:pic>
              </a:graphicData>
            </a:graphic>
          </wp:inline>
        </w:drawing>
      </w:r>
    </w:p>
    <w:p w14:paraId="0D83F876" w14:textId="4F5B0EB1" w:rsidR="001762AF" w:rsidRPr="001762AF" w:rsidRDefault="001762AF" w:rsidP="001762AF">
      <w:pPr>
        <w:rPr>
          <w:rFonts w:cstheme="minorHAnsi"/>
          <w:color w:val="000000" w:themeColor="text1"/>
        </w:rPr>
      </w:pPr>
      <w:r>
        <w:rPr>
          <w:b/>
          <w:color w:val="000000" w:themeColor="text1"/>
        </w:rPr>
        <w:t>Imagen 5:</w:t>
      </w:r>
      <w:r>
        <w:rPr>
          <w:color w:val="000000" w:themeColor="text1"/>
        </w:rPr>
        <w:t xml:space="preserve"> </w:t>
      </w:r>
      <w:r>
        <w:t xml:space="preserve">Rafael Severino, gerente de operaciones de </w:t>
      </w:r>
      <w:proofErr w:type="spellStart"/>
      <w:r>
        <w:t>Painco</w:t>
      </w:r>
      <w:proofErr w:type="spellEnd"/>
      <w:r>
        <w:t xml:space="preserve"> </w:t>
      </w:r>
    </w:p>
    <w:p w14:paraId="16860D9D" w14:textId="77777777" w:rsidR="001762AF" w:rsidRPr="001762AF" w:rsidRDefault="001762AF" w:rsidP="003F6E14">
      <w:pPr>
        <w:rPr>
          <w:rFonts w:cs="Arial"/>
          <w:b/>
          <w:szCs w:val="20"/>
        </w:rPr>
      </w:pPr>
    </w:p>
    <w:p w14:paraId="40E2C0F9" w14:textId="77777777" w:rsidR="00B95F9B" w:rsidRPr="001762AF" w:rsidRDefault="00B95F9B" w:rsidP="003F6E14">
      <w:pPr>
        <w:rPr>
          <w:rFonts w:cs="Arial"/>
          <w:b/>
          <w:szCs w:val="20"/>
        </w:rPr>
      </w:pPr>
    </w:p>
    <w:p w14:paraId="1EE5B9AB" w14:textId="77777777" w:rsidR="00283ACD" w:rsidRPr="00C724A2" w:rsidRDefault="00283ACD" w:rsidP="00283ACD">
      <w:pPr>
        <w:rPr>
          <w:rFonts w:cs="Arial"/>
          <w:szCs w:val="20"/>
        </w:rPr>
      </w:pPr>
      <w:r w:rsidRPr="00C724A2">
        <w:rPr>
          <w:rFonts w:cs="Arial"/>
          <w:szCs w:val="20"/>
        </w:rPr>
        <w:t>Copyright de las fotografías: Fronius International GmbH, reproducción sin costo</w:t>
      </w:r>
    </w:p>
    <w:p w14:paraId="6E108752" w14:textId="77777777" w:rsidR="00283ACD" w:rsidRPr="00C724A2" w:rsidRDefault="00283ACD" w:rsidP="00283ACD">
      <w:pPr>
        <w:rPr>
          <w:rFonts w:cs="Arial"/>
          <w:szCs w:val="20"/>
        </w:rPr>
      </w:pPr>
    </w:p>
    <w:p w14:paraId="0B244975" w14:textId="77777777" w:rsidR="00283ACD" w:rsidRPr="00C724A2" w:rsidRDefault="00283ACD" w:rsidP="00283ACD">
      <w:pPr>
        <w:rPr>
          <w:rFonts w:cs="Arial"/>
          <w:szCs w:val="20"/>
        </w:rPr>
      </w:pPr>
      <w:r w:rsidRPr="00C724A2">
        <w:rPr>
          <w:rFonts w:cs="Arial"/>
          <w:szCs w:val="20"/>
        </w:rPr>
        <w:t>Imágenes de alta resolución están disponibles para descargar del siguiente enlace:</w:t>
      </w:r>
    </w:p>
    <w:p w14:paraId="0A22B9F1" w14:textId="6E386121" w:rsidR="00283ACD" w:rsidRPr="00C724A2" w:rsidRDefault="00A04EF9" w:rsidP="00283ACD">
      <w:pPr>
        <w:rPr>
          <w:rFonts w:cs="Arial"/>
          <w:szCs w:val="20"/>
        </w:rPr>
      </w:pPr>
      <w:hyperlink r:id="rId19" w:history="1">
        <w:r w:rsidR="00283ACD" w:rsidRPr="00C724A2">
          <w:rPr>
            <w:rStyle w:val="Hyperlink"/>
            <w:rFonts w:cs="Arial"/>
            <w:bCs/>
            <w:iCs/>
            <w:snapToGrid w:val="0"/>
            <w:szCs w:val="20"/>
            <w:lang w:val="pt-BR"/>
          </w:rPr>
          <w:t>www.fronius.com/en/welding-technology/infocentre/press</w:t>
        </w:r>
      </w:hyperlink>
      <w:r w:rsidR="002C5BCC">
        <w:rPr>
          <w:rStyle w:val="Hyperlink"/>
          <w:rFonts w:cs="Arial"/>
          <w:bCs/>
          <w:iCs/>
          <w:snapToGrid w:val="0"/>
          <w:szCs w:val="20"/>
          <w:lang w:val="pt-BR"/>
        </w:rPr>
        <w:t>/painco-tps600i</w:t>
      </w:r>
    </w:p>
    <w:p w14:paraId="7143FB02" w14:textId="77777777" w:rsidR="00283ACD" w:rsidRPr="00C724A2" w:rsidRDefault="00283ACD" w:rsidP="00283ACD">
      <w:pPr>
        <w:rPr>
          <w:rFonts w:cs="Arial"/>
          <w:b/>
          <w:szCs w:val="20"/>
        </w:rPr>
      </w:pPr>
    </w:p>
    <w:p w14:paraId="5563006F" w14:textId="7CB9AE97" w:rsidR="00283ACD" w:rsidRDefault="00396703">
      <w:pPr>
        <w:rPr>
          <w:rFonts w:cs="Arial"/>
          <w:b/>
          <w:szCs w:val="20"/>
        </w:rPr>
      </w:pPr>
      <w:proofErr w:type="gramStart"/>
      <w:r>
        <w:rPr>
          <w:b/>
        </w:rPr>
        <w:t>TPS600i :</w:t>
      </w:r>
      <w:proofErr w:type="gramEnd"/>
      <w:r>
        <w:rPr>
          <w:b/>
        </w:rPr>
        <w:t xml:space="preserve"> </w:t>
      </w:r>
      <w:hyperlink r:id="rId20" w:history="1">
        <w:r w:rsidR="00A04EF9">
          <w:rPr>
            <w:rStyle w:val="Hyperlink"/>
          </w:rPr>
          <w:t>https://www.fronius.com/en/welding-technology/products/manual-welding/migmag/tpsi/tpsi/tps-600i</w:t>
        </w:r>
      </w:hyperlink>
      <w:bookmarkStart w:id="0" w:name="_GoBack"/>
      <w:bookmarkEnd w:id="0"/>
      <w:r w:rsidR="00283ACD">
        <w:rPr>
          <w:rFonts w:cs="Arial"/>
          <w:b/>
          <w:szCs w:val="20"/>
        </w:rPr>
        <w:br w:type="page"/>
      </w:r>
    </w:p>
    <w:p w14:paraId="7DFAE6C6" w14:textId="77777777" w:rsidR="00396703" w:rsidRDefault="00396703" w:rsidP="00283ACD">
      <w:pPr>
        <w:rPr>
          <w:rFonts w:cs="Arial"/>
          <w:b/>
          <w:szCs w:val="20"/>
        </w:rPr>
      </w:pPr>
    </w:p>
    <w:p w14:paraId="4C7AA584" w14:textId="73BDDA0C" w:rsidR="00283ACD" w:rsidRPr="00C724A2" w:rsidRDefault="00283ACD" w:rsidP="00283ACD">
      <w:pPr>
        <w:rPr>
          <w:rFonts w:cs="Arial"/>
          <w:szCs w:val="20"/>
        </w:rPr>
      </w:pPr>
      <w:r w:rsidRPr="00C724A2">
        <w:rPr>
          <w:rFonts w:cs="Arial"/>
          <w:b/>
          <w:szCs w:val="20"/>
        </w:rPr>
        <w:t xml:space="preserve">Unidad de Negocio </w:t>
      </w:r>
      <w:proofErr w:type="spellStart"/>
      <w:r w:rsidRPr="00C724A2">
        <w:rPr>
          <w:rFonts w:cs="Arial"/>
          <w:b/>
          <w:szCs w:val="20"/>
        </w:rPr>
        <w:t>Perfect</w:t>
      </w:r>
      <w:proofErr w:type="spellEnd"/>
      <w:r w:rsidRPr="00C724A2">
        <w:rPr>
          <w:rFonts w:cs="Arial"/>
          <w:b/>
          <w:szCs w:val="20"/>
        </w:rPr>
        <w:t xml:space="preserve"> </w:t>
      </w:r>
      <w:proofErr w:type="spellStart"/>
      <w:r w:rsidRPr="00C724A2">
        <w:rPr>
          <w:rFonts w:cs="Arial"/>
          <w:b/>
          <w:szCs w:val="20"/>
        </w:rPr>
        <w:t>Welding</w:t>
      </w:r>
      <w:proofErr w:type="spellEnd"/>
    </w:p>
    <w:p w14:paraId="182CA3CE" w14:textId="77777777" w:rsidR="00283ACD" w:rsidRPr="00C724A2" w:rsidRDefault="00283ACD" w:rsidP="00283ACD">
      <w:pPr>
        <w:rPr>
          <w:rFonts w:cs="Arial"/>
          <w:szCs w:val="20"/>
        </w:rPr>
      </w:pPr>
      <w:proofErr w:type="spellStart"/>
      <w:r w:rsidRPr="00C724A2">
        <w:rPr>
          <w:rFonts w:cs="Arial"/>
          <w:szCs w:val="20"/>
        </w:rPr>
        <w:t>Fronius</w:t>
      </w:r>
      <w:proofErr w:type="spellEnd"/>
      <w:r w:rsidRPr="00C724A2">
        <w:rPr>
          <w:rFonts w:cs="Arial"/>
          <w:szCs w:val="20"/>
        </w:rPr>
        <w:t xml:space="preserve"> </w:t>
      </w:r>
      <w:proofErr w:type="spellStart"/>
      <w:r w:rsidRPr="00C724A2">
        <w:rPr>
          <w:rFonts w:cs="Arial"/>
          <w:szCs w:val="20"/>
        </w:rPr>
        <w:t>Perfect</w:t>
      </w:r>
      <w:proofErr w:type="spellEnd"/>
      <w:r w:rsidRPr="00C724A2">
        <w:rPr>
          <w:rFonts w:cs="Arial"/>
          <w:szCs w:val="20"/>
        </w:rPr>
        <w:t xml:space="preserve"> </w:t>
      </w:r>
      <w:proofErr w:type="spellStart"/>
      <w:r w:rsidRPr="00C724A2">
        <w:rPr>
          <w:rFonts w:cs="Arial"/>
          <w:szCs w:val="20"/>
        </w:rPr>
        <w:t>Welding</w:t>
      </w:r>
      <w:proofErr w:type="spellEnd"/>
      <w:r w:rsidRPr="00C724A2">
        <w:rPr>
          <w:rFonts w:cs="Arial"/>
          <w:szCs w:val="20"/>
        </w:rPr>
        <w:t xml:space="preserve"> es el líder en innovación </w:t>
      </w:r>
      <w:r w:rsidRPr="00E750F6">
        <w:rPr>
          <w:rFonts w:cs="Arial"/>
          <w:szCs w:val="20"/>
        </w:rPr>
        <w:t>para soldadura por arco voltaico, y es</w:t>
      </w:r>
      <w:r w:rsidRPr="00C724A2">
        <w:rPr>
          <w:rFonts w:cs="Arial"/>
          <w:szCs w:val="20"/>
        </w:rPr>
        <w:t xml:space="preserve"> líder en el mercado global para soldadura robótica. Como proveedor de Sistemas. </w:t>
      </w:r>
      <w:proofErr w:type="spellStart"/>
      <w:r w:rsidRPr="00C724A2">
        <w:rPr>
          <w:rFonts w:cs="Arial"/>
          <w:szCs w:val="20"/>
        </w:rPr>
        <w:t>Fronius</w:t>
      </w:r>
      <w:proofErr w:type="spellEnd"/>
      <w:r w:rsidRPr="00C724A2">
        <w:rPr>
          <w:rFonts w:cs="Arial"/>
          <w:szCs w:val="20"/>
        </w:rPr>
        <w:t xml:space="preserve"> </w:t>
      </w:r>
      <w:proofErr w:type="spellStart"/>
      <w:r w:rsidRPr="00C724A2">
        <w:rPr>
          <w:rFonts w:cs="Arial"/>
          <w:szCs w:val="20"/>
        </w:rPr>
        <w:t>welding</w:t>
      </w:r>
      <w:proofErr w:type="spellEnd"/>
      <w:r w:rsidRPr="00C724A2">
        <w:rPr>
          <w:rFonts w:cs="Arial"/>
          <w:szCs w:val="20"/>
        </w:rPr>
        <w:t xml:space="preserve"> </w:t>
      </w:r>
      <w:proofErr w:type="spellStart"/>
      <w:r w:rsidRPr="00C724A2">
        <w:rPr>
          <w:rFonts w:cs="Arial"/>
          <w:szCs w:val="20"/>
        </w:rPr>
        <w:t>automation</w:t>
      </w:r>
      <w:proofErr w:type="spellEnd"/>
      <w:r w:rsidRPr="00C724A2">
        <w:rPr>
          <w:rFonts w:cs="Arial"/>
          <w:szCs w:val="20"/>
        </w:rPr>
        <w:t xml:space="preserve"> convierte las soluciones de soldadura automatizada específicas para el cliente en una realidad para diferentes áreas, desde la construcción de contenedores hasta el revestimiento para el sector offshore. Las fuentes de corriente para aplicaciones manuales, los accesorios de soldadura y un amplio rango de servicios adicionados a nuestra cartera. Con más de 1.000 distribuidores en todo el mundo, </w:t>
      </w:r>
      <w:proofErr w:type="spellStart"/>
      <w:r w:rsidRPr="00C724A2">
        <w:rPr>
          <w:rFonts w:cs="Arial"/>
          <w:szCs w:val="20"/>
        </w:rPr>
        <w:t>Fronius</w:t>
      </w:r>
      <w:proofErr w:type="spellEnd"/>
      <w:r w:rsidRPr="00C724A2">
        <w:rPr>
          <w:rFonts w:cs="Arial"/>
          <w:szCs w:val="20"/>
        </w:rPr>
        <w:t xml:space="preserve"> </w:t>
      </w:r>
      <w:proofErr w:type="spellStart"/>
      <w:r w:rsidRPr="00C724A2">
        <w:rPr>
          <w:rFonts w:cs="Arial"/>
          <w:szCs w:val="20"/>
        </w:rPr>
        <w:t>Perfect</w:t>
      </w:r>
      <w:proofErr w:type="spellEnd"/>
      <w:r w:rsidRPr="00C724A2">
        <w:rPr>
          <w:rFonts w:cs="Arial"/>
          <w:szCs w:val="20"/>
        </w:rPr>
        <w:t xml:space="preserve"> </w:t>
      </w:r>
      <w:proofErr w:type="spellStart"/>
      <w:r w:rsidRPr="00C724A2">
        <w:rPr>
          <w:rFonts w:cs="Arial"/>
          <w:szCs w:val="20"/>
        </w:rPr>
        <w:t>Welding</w:t>
      </w:r>
      <w:proofErr w:type="spellEnd"/>
      <w:r w:rsidRPr="00C724A2">
        <w:rPr>
          <w:rFonts w:cs="Arial"/>
          <w:szCs w:val="20"/>
        </w:rPr>
        <w:t xml:space="preserve"> siempre está cerca de sus clientes. </w:t>
      </w:r>
    </w:p>
    <w:p w14:paraId="0394CA11" w14:textId="77777777" w:rsidR="00283ACD" w:rsidRPr="00C724A2" w:rsidRDefault="00283ACD" w:rsidP="00283ACD">
      <w:pPr>
        <w:rPr>
          <w:rFonts w:cs="Arial"/>
          <w:b/>
          <w:szCs w:val="20"/>
        </w:rPr>
      </w:pPr>
    </w:p>
    <w:p w14:paraId="7E189270" w14:textId="77777777" w:rsidR="00283ACD" w:rsidRPr="00C724A2" w:rsidRDefault="00283ACD" w:rsidP="00283ACD">
      <w:pPr>
        <w:rPr>
          <w:rFonts w:cs="Arial"/>
          <w:b/>
          <w:szCs w:val="20"/>
        </w:rPr>
      </w:pPr>
      <w:r w:rsidRPr="00C724A2">
        <w:rPr>
          <w:rFonts w:cs="Arial"/>
          <w:b/>
          <w:szCs w:val="20"/>
        </w:rPr>
        <w:t>Fronius International GmbH</w:t>
      </w:r>
    </w:p>
    <w:p w14:paraId="0FB6CF99" w14:textId="77777777" w:rsidR="00283ACD" w:rsidRPr="006509C7" w:rsidRDefault="00283ACD" w:rsidP="00283ACD">
      <w:pPr>
        <w:rPr>
          <w:rFonts w:cs="Arial"/>
          <w:szCs w:val="20"/>
        </w:rPr>
      </w:pPr>
      <w:r w:rsidRPr="00C724A2">
        <w:rPr>
          <w:rFonts w:cs="Arial"/>
          <w:szCs w:val="20"/>
        </w:rPr>
        <w:t xml:space="preserve">Fronius International GmbH es una empresa austriaca con sede en </w:t>
      </w:r>
      <w:proofErr w:type="spellStart"/>
      <w:r w:rsidRPr="00C724A2">
        <w:rPr>
          <w:rFonts w:cs="Arial"/>
          <w:szCs w:val="20"/>
        </w:rPr>
        <w:t>Pettenbach</w:t>
      </w:r>
      <w:proofErr w:type="spellEnd"/>
      <w:r w:rsidRPr="00C724A2">
        <w:rPr>
          <w:rFonts w:cs="Arial"/>
          <w:szCs w:val="20"/>
        </w:rPr>
        <w:t xml:space="preserve"> e instalaciones en </w:t>
      </w:r>
      <w:proofErr w:type="spellStart"/>
      <w:r w:rsidRPr="00C724A2">
        <w:rPr>
          <w:rFonts w:cs="Arial"/>
          <w:szCs w:val="20"/>
        </w:rPr>
        <w:t>Wels</w:t>
      </w:r>
      <w:proofErr w:type="spellEnd"/>
      <w:r w:rsidRPr="00C724A2">
        <w:rPr>
          <w:rFonts w:cs="Arial"/>
          <w:szCs w:val="20"/>
        </w:rPr>
        <w:t xml:space="preserve">, </w:t>
      </w:r>
      <w:proofErr w:type="spellStart"/>
      <w:r w:rsidRPr="00C724A2">
        <w:rPr>
          <w:rFonts w:cs="Arial"/>
          <w:szCs w:val="20"/>
        </w:rPr>
        <w:t>Thalheim</w:t>
      </w:r>
      <w:proofErr w:type="spellEnd"/>
      <w:r w:rsidRPr="00C724A2">
        <w:rPr>
          <w:rFonts w:cs="Arial"/>
          <w:szCs w:val="20"/>
        </w:rPr>
        <w:t xml:space="preserve">, </w:t>
      </w:r>
      <w:proofErr w:type="spellStart"/>
      <w:r w:rsidRPr="00C724A2">
        <w:rPr>
          <w:rFonts w:cs="Arial"/>
          <w:szCs w:val="20"/>
        </w:rPr>
        <w:t>Steinhaus</w:t>
      </w:r>
      <w:proofErr w:type="spellEnd"/>
      <w:r w:rsidRPr="00C724A2">
        <w:rPr>
          <w:rFonts w:cs="Arial"/>
          <w:szCs w:val="20"/>
        </w:rPr>
        <w:t xml:space="preserve"> y</w:t>
      </w:r>
      <w:r>
        <w:rPr>
          <w:rFonts w:cs="Arial"/>
          <w:szCs w:val="20"/>
        </w:rPr>
        <w:t xml:space="preserve"> </w:t>
      </w:r>
      <w:proofErr w:type="spellStart"/>
      <w:r>
        <w:rPr>
          <w:rFonts w:cs="Arial"/>
          <w:szCs w:val="20"/>
        </w:rPr>
        <w:t>Sattledt</w:t>
      </w:r>
      <w:proofErr w:type="spellEnd"/>
      <w:r>
        <w:rPr>
          <w:rFonts w:cs="Arial"/>
          <w:szCs w:val="20"/>
        </w:rPr>
        <w:t xml:space="preserve">. </w:t>
      </w:r>
      <w:r w:rsidRPr="006509C7">
        <w:rPr>
          <w:rFonts w:cs="Arial"/>
          <w:szCs w:val="20"/>
        </w:rPr>
        <w:t xml:space="preserve">Fundada por </w:t>
      </w:r>
      <w:proofErr w:type="spellStart"/>
      <w:r w:rsidRPr="006509C7">
        <w:rPr>
          <w:rFonts w:cs="Arial"/>
          <w:szCs w:val="20"/>
        </w:rPr>
        <w:t>Günter</w:t>
      </w:r>
      <w:proofErr w:type="spellEnd"/>
      <w:r w:rsidRPr="006509C7">
        <w:rPr>
          <w:rFonts w:cs="Arial"/>
          <w:szCs w:val="20"/>
        </w:rPr>
        <w:t xml:space="preserve"> </w:t>
      </w:r>
      <w:proofErr w:type="spellStart"/>
      <w:r w:rsidRPr="006509C7">
        <w:rPr>
          <w:rFonts w:cs="Arial"/>
          <w:szCs w:val="20"/>
        </w:rPr>
        <w:t>Fronius</w:t>
      </w:r>
      <w:proofErr w:type="spellEnd"/>
      <w:r w:rsidRPr="006509C7">
        <w:rPr>
          <w:rFonts w:cs="Arial"/>
          <w:szCs w:val="20"/>
        </w:rPr>
        <w:t xml:space="preserve"> en 1945, esta tradicional compañía llena de historia celebrará su 75 aniversario en el 2020. Lo que comenzó como una pequeña empresa local manejada por un solo hombre, creció para convertirse en un participant</w:t>
      </w:r>
      <w:r>
        <w:rPr>
          <w:rFonts w:cs="Arial"/>
          <w:szCs w:val="20"/>
        </w:rPr>
        <w:t>e global del sector con más de 5</w:t>
      </w:r>
      <w:r w:rsidRPr="006509C7">
        <w:rPr>
          <w:rFonts w:cs="Arial"/>
          <w:szCs w:val="20"/>
        </w:rPr>
        <w:t>,</w:t>
      </w:r>
      <w:r>
        <w:rPr>
          <w:rFonts w:cs="Arial"/>
          <w:szCs w:val="20"/>
        </w:rPr>
        <w:t>440</w:t>
      </w:r>
      <w:r w:rsidRPr="006509C7">
        <w:rPr>
          <w:rFonts w:cs="Arial"/>
          <w:szCs w:val="20"/>
        </w:rPr>
        <w:t xml:space="preserve"> empleados</w:t>
      </w:r>
    </w:p>
    <w:p w14:paraId="7346CC43" w14:textId="77777777" w:rsidR="00283ACD" w:rsidRPr="00C724A2" w:rsidRDefault="00283ACD" w:rsidP="00283ACD">
      <w:pPr>
        <w:rPr>
          <w:rFonts w:cs="Arial"/>
          <w:szCs w:val="20"/>
        </w:rPr>
      </w:pPr>
      <w:proofErr w:type="gramStart"/>
      <w:r w:rsidRPr="006509C7">
        <w:rPr>
          <w:rFonts w:cs="Arial"/>
          <w:szCs w:val="20"/>
        </w:rPr>
        <w:t>en</w:t>
      </w:r>
      <w:proofErr w:type="gramEnd"/>
      <w:r w:rsidRPr="006509C7">
        <w:rPr>
          <w:rFonts w:cs="Arial"/>
          <w:szCs w:val="20"/>
        </w:rPr>
        <w:t xml:space="preserve"> todo el mundo, trabajando en las áreas de tecnología de soldadura, fotovoltaica y sistemas de carga de baterías.</w:t>
      </w:r>
      <w:r>
        <w:rPr>
          <w:rFonts w:cs="Arial"/>
          <w:szCs w:val="20"/>
        </w:rPr>
        <w:t xml:space="preserve"> </w:t>
      </w:r>
      <w:r w:rsidRPr="00C724A2">
        <w:rPr>
          <w:rFonts w:cs="Arial"/>
          <w:szCs w:val="20"/>
        </w:rPr>
        <w:t>El porcentaje de exporta</w:t>
      </w:r>
      <w:r>
        <w:rPr>
          <w:rFonts w:cs="Arial"/>
          <w:szCs w:val="20"/>
        </w:rPr>
        <w:t>ción es de aproximadamente el 93</w:t>
      </w:r>
      <w:r w:rsidRPr="00C724A2">
        <w:rPr>
          <w:rFonts w:cs="Arial"/>
          <w:szCs w:val="20"/>
        </w:rPr>
        <w:t xml:space="preserve"> por ciento y se consigue gracias a las </w:t>
      </w:r>
      <w:r>
        <w:rPr>
          <w:rFonts w:cs="Arial"/>
          <w:szCs w:val="20"/>
        </w:rPr>
        <w:t>34</w:t>
      </w:r>
      <w:r w:rsidRPr="00C724A2">
        <w:rPr>
          <w:rFonts w:cs="Arial"/>
          <w:szCs w:val="20"/>
        </w:rPr>
        <w:t xml:space="preserve"> sociedades internacionales de Fronius y distribuidores/representantes en más de 60 países. Fronius es líder en innovación en el mercado mundial gracias a sus productos innovadores y</w:t>
      </w:r>
      <w:r>
        <w:rPr>
          <w:rFonts w:cs="Arial"/>
          <w:szCs w:val="20"/>
        </w:rPr>
        <w:t xml:space="preserve"> servicios, así como a las 1.264</w:t>
      </w:r>
      <w:r w:rsidRPr="00C724A2">
        <w:rPr>
          <w:rFonts w:cs="Arial"/>
          <w:szCs w:val="20"/>
        </w:rPr>
        <w:t xml:space="preserve"> patentes concedidas.</w:t>
      </w:r>
    </w:p>
    <w:p w14:paraId="7E172291" w14:textId="77777777" w:rsidR="00283ACD" w:rsidRPr="00977CB0" w:rsidRDefault="00283ACD" w:rsidP="00283ACD">
      <w:pPr>
        <w:pStyle w:val="Textkrper2"/>
        <w:spacing w:after="0" w:line="240" w:lineRule="auto"/>
        <w:ind w:right="-254"/>
        <w:rPr>
          <w:rFonts w:cs="Arial"/>
          <w:szCs w:val="20"/>
        </w:rPr>
      </w:pPr>
    </w:p>
    <w:p w14:paraId="58961B2C" w14:textId="77777777" w:rsidR="00283ACD" w:rsidRPr="00977CB0" w:rsidRDefault="00283ACD" w:rsidP="00283ACD">
      <w:pPr>
        <w:pStyle w:val="Textkrper2"/>
        <w:spacing w:after="0" w:line="240" w:lineRule="auto"/>
        <w:ind w:right="-254"/>
        <w:rPr>
          <w:rFonts w:cs="Arial"/>
          <w:iCs/>
          <w:szCs w:val="20"/>
        </w:rPr>
      </w:pPr>
    </w:p>
    <w:p w14:paraId="119D42A0" w14:textId="77777777" w:rsidR="00283ACD" w:rsidRPr="00977CB0" w:rsidRDefault="00283ACD" w:rsidP="00283ACD">
      <w:pPr>
        <w:pStyle w:val="Textkrper2"/>
        <w:spacing w:after="0" w:line="240" w:lineRule="auto"/>
        <w:ind w:right="-254"/>
        <w:rPr>
          <w:rFonts w:cs="Arial"/>
          <w:iCs/>
          <w:szCs w:val="20"/>
        </w:rPr>
      </w:pPr>
    </w:p>
    <w:p w14:paraId="5911AD38" w14:textId="77777777" w:rsidR="00283ACD" w:rsidRPr="00C724A2" w:rsidRDefault="00283ACD" w:rsidP="00283ACD">
      <w:pPr>
        <w:autoSpaceDE w:val="0"/>
        <w:autoSpaceDN w:val="0"/>
        <w:adjustRightInd w:val="0"/>
        <w:rPr>
          <w:rFonts w:cs="Arial"/>
          <w:szCs w:val="20"/>
        </w:rPr>
      </w:pPr>
      <w:r w:rsidRPr="00C724A2">
        <w:rPr>
          <w:rFonts w:cs="Arial"/>
          <w:b/>
          <w:iCs/>
          <w:noProof/>
          <w:szCs w:val="20"/>
        </w:rPr>
        <w:t>Para más información, por favor diríjase al:</w:t>
      </w:r>
      <w:r w:rsidRPr="00C724A2">
        <w:rPr>
          <w:rFonts w:cs="Arial"/>
          <w:b/>
          <w:iCs/>
          <w:szCs w:val="20"/>
        </w:rPr>
        <w:br/>
      </w:r>
      <w:r w:rsidRPr="00C724A2">
        <w:rPr>
          <w:rFonts w:cs="Arial"/>
          <w:szCs w:val="20"/>
        </w:rPr>
        <w:t xml:space="preserve">Fronius México S.A., </w:t>
      </w:r>
      <w:r>
        <w:rPr>
          <w:rFonts w:cs="Arial"/>
          <w:szCs w:val="20"/>
        </w:rPr>
        <w:t xml:space="preserve">Servando Juarez </w:t>
      </w:r>
    </w:p>
    <w:p w14:paraId="162F26EC" w14:textId="77777777" w:rsidR="00283ACD" w:rsidRPr="00C724A2" w:rsidRDefault="00283ACD" w:rsidP="00283ACD">
      <w:pPr>
        <w:autoSpaceDE w:val="0"/>
        <w:autoSpaceDN w:val="0"/>
        <w:adjustRightInd w:val="0"/>
        <w:rPr>
          <w:rFonts w:cs="Arial"/>
          <w:szCs w:val="20"/>
        </w:rPr>
      </w:pPr>
      <w:r w:rsidRPr="00C724A2">
        <w:rPr>
          <w:rFonts w:cs="Arial"/>
          <w:szCs w:val="20"/>
        </w:rPr>
        <w:t>Carretera Monterrey Saltillo 3279 E, Santa Catarina, NL, 66367, México</w:t>
      </w:r>
    </w:p>
    <w:p w14:paraId="29F4DC97" w14:textId="77777777" w:rsidR="00283ACD" w:rsidRPr="00C724A2" w:rsidRDefault="00283ACD" w:rsidP="00283ACD">
      <w:pPr>
        <w:autoSpaceDE w:val="0"/>
        <w:autoSpaceDN w:val="0"/>
        <w:adjustRightInd w:val="0"/>
        <w:rPr>
          <w:rFonts w:cs="Arial"/>
          <w:szCs w:val="20"/>
        </w:rPr>
      </w:pPr>
      <w:r w:rsidRPr="00C724A2">
        <w:rPr>
          <w:rFonts w:cs="Arial"/>
          <w:szCs w:val="20"/>
        </w:rPr>
        <w:t xml:space="preserve">Tel.: </w:t>
      </w:r>
      <w:r w:rsidRPr="00B250F7">
        <w:rPr>
          <w:rFonts w:cs="Arial"/>
          <w:szCs w:val="20"/>
        </w:rPr>
        <w:t>+52 81 88828200</w:t>
      </w:r>
    </w:p>
    <w:p w14:paraId="31BF50D1" w14:textId="77777777" w:rsidR="00283ACD" w:rsidRDefault="00283ACD" w:rsidP="00283ACD">
      <w:pPr>
        <w:autoSpaceDE w:val="0"/>
        <w:autoSpaceDN w:val="0"/>
        <w:adjustRightInd w:val="0"/>
        <w:rPr>
          <w:rFonts w:cs="Arial"/>
          <w:szCs w:val="20"/>
        </w:rPr>
      </w:pPr>
      <w:r w:rsidRPr="00C724A2">
        <w:rPr>
          <w:rFonts w:cs="Arial"/>
          <w:szCs w:val="20"/>
        </w:rPr>
        <w:t xml:space="preserve">Correo electrónico: </w:t>
      </w:r>
      <w:hyperlink r:id="rId21" w:history="1">
        <w:r w:rsidRPr="002117D1">
          <w:rPr>
            <w:rStyle w:val="Hyperlink"/>
            <w:rFonts w:cs="Arial"/>
            <w:szCs w:val="20"/>
          </w:rPr>
          <w:t>Juarez.Servando@fronius.com</w:t>
        </w:r>
      </w:hyperlink>
    </w:p>
    <w:p w14:paraId="138C321A" w14:textId="77777777" w:rsidR="00283ACD" w:rsidRPr="00C724A2" w:rsidRDefault="00283ACD" w:rsidP="00283ACD">
      <w:pPr>
        <w:autoSpaceDE w:val="0"/>
        <w:autoSpaceDN w:val="0"/>
        <w:adjustRightInd w:val="0"/>
        <w:rPr>
          <w:rFonts w:cs="Arial"/>
          <w:szCs w:val="20"/>
        </w:rPr>
      </w:pPr>
    </w:p>
    <w:p w14:paraId="046AD090" w14:textId="77777777" w:rsidR="00283ACD" w:rsidRPr="00C724A2" w:rsidRDefault="00283ACD" w:rsidP="00283ACD">
      <w:pPr>
        <w:autoSpaceDE w:val="0"/>
        <w:autoSpaceDN w:val="0"/>
        <w:adjustRightInd w:val="0"/>
        <w:rPr>
          <w:rFonts w:cs="Arial"/>
          <w:color w:val="000000"/>
          <w:szCs w:val="20"/>
        </w:rPr>
      </w:pPr>
    </w:p>
    <w:p w14:paraId="10CFD1DF" w14:textId="77777777" w:rsidR="00283ACD" w:rsidRPr="00C724A2" w:rsidRDefault="00283ACD" w:rsidP="00283ACD">
      <w:pPr>
        <w:pStyle w:val="Textkrper2"/>
        <w:spacing w:after="0" w:line="240" w:lineRule="auto"/>
        <w:ind w:right="29"/>
        <w:rPr>
          <w:rFonts w:cs="Arial"/>
          <w:b/>
          <w:szCs w:val="20"/>
        </w:rPr>
      </w:pPr>
      <w:r w:rsidRPr="00C724A2">
        <w:rPr>
          <w:rFonts w:cs="Arial"/>
          <w:b/>
          <w:szCs w:val="20"/>
        </w:rPr>
        <w:t>Por favor, envíe un ejemplar de prueba a nuestra agencia:</w:t>
      </w:r>
    </w:p>
    <w:p w14:paraId="0FB31C46" w14:textId="77777777" w:rsidR="00283ACD" w:rsidRPr="00C724A2" w:rsidRDefault="00283ACD" w:rsidP="00283ACD">
      <w:pPr>
        <w:pStyle w:val="Textkrper2"/>
        <w:spacing w:after="0" w:line="240" w:lineRule="auto"/>
        <w:ind w:right="29"/>
        <w:rPr>
          <w:rFonts w:cs="Arial"/>
          <w:szCs w:val="20"/>
          <w:lang w:val="de-DE"/>
        </w:rPr>
      </w:pPr>
      <w:r w:rsidRPr="00C724A2">
        <w:rPr>
          <w:rFonts w:cs="Arial"/>
          <w:szCs w:val="20"/>
          <w:lang w:val="de-DE"/>
        </w:rPr>
        <w:t>a1kommunikation Schweizer GmbH, Señora Kirsten Ludwig,</w:t>
      </w:r>
    </w:p>
    <w:p w14:paraId="65506F1C" w14:textId="77777777" w:rsidR="00283ACD" w:rsidRPr="00C724A2" w:rsidRDefault="00283ACD" w:rsidP="00283ACD">
      <w:pPr>
        <w:pStyle w:val="Textkrper2"/>
        <w:spacing w:after="0" w:line="240" w:lineRule="auto"/>
        <w:ind w:right="29"/>
        <w:rPr>
          <w:rFonts w:cs="Arial"/>
          <w:szCs w:val="20"/>
        </w:rPr>
      </w:pPr>
      <w:proofErr w:type="spellStart"/>
      <w:r w:rsidRPr="00C724A2">
        <w:rPr>
          <w:rFonts w:cs="Arial"/>
          <w:szCs w:val="20"/>
        </w:rPr>
        <w:t>Oberdorfstraße</w:t>
      </w:r>
      <w:proofErr w:type="spellEnd"/>
      <w:r w:rsidRPr="00C724A2">
        <w:rPr>
          <w:rFonts w:cs="Arial"/>
          <w:szCs w:val="20"/>
        </w:rPr>
        <w:t xml:space="preserve"> 31 A, D – 70794 </w:t>
      </w:r>
      <w:proofErr w:type="spellStart"/>
      <w:r w:rsidRPr="00C724A2">
        <w:rPr>
          <w:rFonts w:cs="Arial"/>
          <w:szCs w:val="20"/>
        </w:rPr>
        <w:t>Filderstadt</w:t>
      </w:r>
      <w:proofErr w:type="spellEnd"/>
      <w:r w:rsidRPr="00C724A2">
        <w:rPr>
          <w:rFonts w:cs="Arial"/>
          <w:szCs w:val="20"/>
        </w:rPr>
        <w:t>,</w:t>
      </w:r>
    </w:p>
    <w:p w14:paraId="59C38287" w14:textId="77777777" w:rsidR="00283ACD" w:rsidRPr="00C724A2" w:rsidRDefault="00283ACD" w:rsidP="00283ACD">
      <w:pPr>
        <w:rPr>
          <w:rFonts w:cs="Arial"/>
          <w:szCs w:val="20"/>
        </w:rPr>
      </w:pPr>
      <w:r w:rsidRPr="00C724A2">
        <w:rPr>
          <w:rFonts w:cs="Arial"/>
          <w:szCs w:val="20"/>
        </w:rPr>
        <w:t xml:space="preserve">tel.: +49 (0)711 9454161-20, correo electrónico: </w:t>
      </w:r>
      <w:hyperlink r:id="rId22">
        <w:r w:rsidRPr="00C724A2">
          <w:rPr>
            <w:rStyle w:val="Hyperlink"/>
            <w:rFonts w:cs="Arial"/>
            <w:szCs w:val="20"/>
          </w:rPr>
          <w:t>Kirsten.Ludwig@a1kommunikation.de</w:t>
        </w:r>
      </w:hyperlink>
    </w:p>
    <w:p w14:paraId="3C734A76" w14:textId="77777777" w:rsidR="00283ACD" w:rsidRDefault="00283ACD" w:rsidP="00283ACD">
      <w:pPr>
        <w:rPr>
          <w:rFonts w:cs="Arial"/>
          <w:szCs w:val="20"/>
        </w:rPr>
      </w:pPr>
    </w:p>
    <w:p w14:paraId="2DFC6D68" w14:textId="77777777" w:rsidR="00283ACD" w:rsidRDefault="00283ACD" w:rsidP="00283ACD">
      <w:pPr>
        <w:rPr>
          <w:rFonts w:cs="Arial"/>
          <w:szCs w:val="20"/>
        </w:rPr>
      </w:pPr>
    </w:p>
    <w:p w14:paraId="261C78FA" w14:textId="77777777" w:rsidR="00E379D5" w:rsidRPr="00C724A2" w:rsidRDefault="00E379D5" w:rsidP="00E379D5">
      <w:pPr>
        <w:rPr>
          <w:rFonts w:cs="Arial"/>
          <w:szCs w:val="20"/>
        </w:rPr>
      </w:pPr>
      <w:r w:rsidRPr="00A65B2D">
        <w:rPr>
          <w:rFonts w:cs="Arial"/>
          <w:szCs w:val="20"/>
        </w:rPr>
        <w:t>¡Para obtener actualizaciones más interesantes, visite nuestro blog en blog.perfectwelding.fronius.com y síganos en Facebook (</w:t>
      </w:r>
      <w:proofErr w:type="spellStart"/>
      <w:r w:rsidRPr="00A65B2D">
        <w:rPr>
          <w:rFonts w:cs="Arial"/>
          <w:szCs w:val="20"/>
        </w:rPr>
        <w:t>froniuswelding</w:t>
      </w:r>
      <w:proofErr w:type="spellEnd"/>
      <w:r w:rsidRPr="00A65B2D">
        <w:rPr>
          <w:rFonts w:cs="Arial"/>
          <w:szCs w:val="20"/>
        </w:rPr>
        <w:t>), Twitter (</w:t>
      </w:r>
      <w:proofErr w:type="spellStart"/>
      <w:r w:rsidRPr="00A65B2D">
        <w:rPr>
          <w:rFonts w:cs="Arial"/>
          <w:szCs w:val="20"/>
        </w:rPr>
        <w:t>froniusintweld</w:t>
      </w:r>
      <w:proofErr w:type="spellEnd"/>
      <w:r w:rsidRPr="00A65B2D">
        <w:rPr>
          <w:rFonts w:cs="Arial"/>
          <w:szCs w:val="20"/>
        </w:rPr>
        <w:t>), LinkedIn (</w:t>
      </w:r>
      <w:proofErr w:type="spellStart"/>
      <w:r w:rsidRPr="00A65B2D">
        <w:rPr>
          <w:rFonts w:cs="Arial"/>
          <w:szCs w:val="20"/>
        </w:rPr>
        <w:t>perfect-welding</w:t>
      </w:r>
      <w:proofErr w:type="spellEnd"/>
      <w:r w:rsidRPr="00A65B2D">
        <w:rPr>
          <w:rFonts w:cs="Arial"/>
          <w:szCs w:val="20"/>
        </w:rPr>
        <w:t>), Instagram (</w:t>
      </w:r>
      <w:proofErr w:type="spellStart"/>
      <w:r w:rsidRPr="00A65B2D">
        <w:rPr>
          <w:rFonts w:cs="Arial"/>
          <w:szCs w:val="20"/>
        </w:rPr>
        <w:t>froniuswelding</w:t>
      </w:r>
      <w:proofErr w:type="spellEnd"/>
      <w:r w:rsidRPr="00A65B2D">
        <w:rPr>
          <w:rFonts w:cs="Arial"/>
          <w:szCs w:val="20"/>
        </w:rPr>
        <w:t>) y YouTube (</w:t>
      </w:r>
      <w:proofErr w:type="spellStart"/>
      <w:r w:rsidRPr="00A65B2D">
        <w:rPr>
          <w:rFonts w:cs="Arial"/>
          <w:szCs w:val="20"/>
        </w:rPr>
        <w:t>froniuswelding</w:t>
      </w:r>
      <w:proofErr w:type="spellEnd"/>
      <w:r w:rsidRPr="00A65B2D">
        <w:rPr>
          <w:rFonts w:cs="Arial"/>
          <w:szCs w:val="20"/>
        </w:rPr>
        <w:t>)!</w:t>
      </w:r>
    </w:p>
    <w:p w14:paraId="41131562" w14:textId="47A528D6" w:rsidR="00167572" w:rsidRPr="00283ACD" w:rsidRDefault="00167572" w:rsidP="00E379D5">
      <w:pPr>
        <w:rPr>
          <w:rFonts w:cs="Arial"/>
          <w:b/>
          <w:vanish/>
          <w:szCs w:val="20"/>
        </w:rPr>
      </w:pPr>
    </w:p>
    <w:sectPr w:rsidR="00167572" w:rsidRPr="00283ACD"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AB5F953" w14:textId="77777777" w:rsidR="00AC5C30" w:rsidRDefault="00AC5C30" w:rsidP="00B95BF4">
      <w:r>
        <w:separator/>
      </w:r>
    </w:p>
  </w:endnote>
  <w:endnote w:type="continuationSeparator" w:id="0">
    <w:p w14:paraId="6A58C5B0" w14:textId="77777777" w:rsidR="00AC5C30" w:rsidRDefault="00AC5C30"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AD76EB" w14:textId="77777777" w:rsidR="00B76BBC" w:rsidRDefault="00B76BBC">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880845" w14:textId="4E8699C4" w:rsidR="00C51BE1" w:rsidRPr="00E533E1" w:rsidRDefault="00B76BBC" w:rsidP="00377B4F">
    <w:pPr>
      <w:tabs>
        <w:tab w:val="right" w:pos="10080"/>
      </w:tabs>
      <w:rPr>
        <w:sz w:val="16"/>
        <w:szCs w:val="16"/>
      </w:rPr>
    </w:pPr>
    <w:r>
      <w:rPr>
        <w:sz w:val="12"/>
      </w:rPr>
      <w:t>09/2020</w:t>
    </w:r>
    <w:r>
      <w:rPr>
        <w:sz w:val="16"/>
      </w:rPr>
      <w:tab/>
    </w:r>
    <w:r w:rsidR="00C51BE1" w:rsidRPr="00E533E1">
      <w:rPr>
        <w:sz w:val="16"/>
      </w:rPr>
      <w:fldChar w:fldCharType="begin"/>
    </w:r>
    <w:r w:rsidR="00C51BE1" w:rsidRPr="00E533E1">
      <w:rPr>
        <w:sz w:val="16"/>
      </w:rPr>
      <w:instrText xml:space="preserve"> PAGE </w:instrText>
    </w:r>
    <w:r w:rsidR="00C51BE1" w:rsidRPr="00E533E1">
      <w:rPr>
        <w:sz w:val="16"/>
      </w:rPr>
      <w:fldChar w:fldCharType="separate"/>
    </w:r>
    <w:r w:rsidR="00A04EF9">
      <w:rPr>
        <w:noProof/>
        <w:sz w:val="16"/>
      </w:rPr>
      <w:t>1</w:t>
    </w:r>
    <w:r w:rsidR="00C51BE1" w:rsidRPr="00E533E1">
      <w:rPr>
        <w:sz w:val="16"/>
      </w:rPr>
      <w:fldChar w:fldCharType="end"/>
    </w:r>
    <w:r>
      <w:rPr>
        <w:sz w:val="16"/>
      </w:rPr>
      <w:t>/</w:t>
    </w:r>
    <w:r w:rsidR="00C51BE1" w:rsidRPr="00E533E1">
      <w:rPr>
        <w:sz w:val="16"/>
      </w:rPr>
      <w:fldChar w:fldCharType="begin"/>
    </w:r>
    <w:r w:rsidR="00C51BE1" w:rsidRPr="00E533E1">
      <w:rPr>
        <w:sz w:val="16"/>
      </w:rPr>
      <w:instrText xml:space="preserve"> NUMPAGES </w:instrText>
    </w:r>
    <w:r w:rsidR="00C51BE1" w:rsidRPr="00E533E1">
      <w:rPr>
        <w:sz w:val="16"/>
      </w:rPr>
      <w:fldChar w:fldCharType="separate"/>
    </w:r>
    <w:r w:rsidR="00A04EF9">
      <w:rPr>
        <w:noProof/>
        <w:sz w:val="16"/>
      </w:rPr>
      <w:t>3</w:t>
    </w:r>
    <w:r w:rsidR="00C51BE1" w:rsidRPr="00E533E1">
      <w:rPr>
        <w:sz w:val="16"/>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E9D217" w14:textId="77777777" w:rsidR="00B76BBC" w:rsidRDefault="00B76BBC">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2DC00CE" w14:textId="77777777" w:rsidR="00AC5C30" w:rsidRDefault="00AC5C30" w:rsidP="00B95BF4">
      <w:r>
        <w:separator/>
      </w:r>
    </w:p>
  </w:footnote>
  <w:footnote w:type="continuationSeparator" w:id="0">
    <w:p w14:paraId="02A72FEE" w14:textId="77777777" w:rsidR="00AC5C30" w:rsidRDefault="00AC5C30"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D7B25E" w14:textId="77777777" w:rsidR="00B76BBC" w:rsidRDefault="00B76BBC">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549580" w14:textId="77777777" w:rsidR="00C51BE1" w:rsidRDefault="00C51BE1">
    <w:r>
      <w:rPr>
        <w:noProof/>
        <w:lang w:val="de-AT" w:eastAsia="de-AT"/>
      </w:rPr>
      <w:drawing>
        <wp:anchor distT="0" distB="0" distL="114300" distR="114300" simplePos="0" relativeHeight="251657728" behindDoc="1" locked="0" layoutInCell="1" allowOverlap="1" wp14:anchorId="238B9FFD" wp14:editId="3E857E0F">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cstate="email">
                    <a:extLst>
                      <a:ext uri="{28A0092B-C50C-407E-A947-70E740481C1C}">
                        <a14:useLocalDpi xmlns:a14="http://schemas.microsoft.com/office/drawing/2010/main"/>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D66B79" w14:textId="77777777" w:rsidR="00B76BBC" w:rsidRDefault="00B76BBC">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1F95278"/>
    <w:multiLevelType w:val="hybridMultilevel"/>
    <w:tmpl w:val="D9A8BF44"/>
    <w:lvl w:ilvl="0" w:tplc="D7207996">
      <w:numFmt w:val="bullet"/>
      <w:lvlText w:val="-"/>
      <w:lvlJc w:val="left"/>
      <w:pPr>
        <w:ind w:left="720" w:hanging="360"/>
      </w:pPr>
      <w:rPr>
        <w:rFonts w:ascii="Arial" w:eastAsia="PMingLiU" w:hAnsi="Arial" w:cs="Aria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4"/>
  </w:num>
  <w:num w:numId="2">
    <w:abstractNumId w:val="0"/>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it-IT" w:vendorID="64" w:dllVersion="6" w:nlCheck="1" w:checkStyle="0"/>
  <w:activeWritingStyle w:appName="MSWord" w:lang="de-AT" w:vendorID="64" w:dllVersion="6" w:nlCheck="1" w:checkStyle="1"/>
  <w:activeWritingStyle w:appName="MSWord" w:lang="de-DE" w:vendorID="64" w:dllVersion="6" w:nlCheck="1" w:checkStyle="1"/>
  <w:activeWritingStyle w:appName="MSWord" w:lang="en-US" w:vendorID="64" w:dllVersion="6" w:nlCheck="1" w:checkStyle="1"/>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es-MX" w:vendorID="64" w:dllVersion="131078" w:nlCheck="1" w:checkStyle="1"/>
  <w:activeWritingStyle w:appName="MSWord" w:lang="fr-FR" w:vendorID="64" w:dllVersion="131078" w:nlCheck="1" w:checkStyle="1"/>
  <w:activeWritingStyle w:appName="MSWord" w:lang="de-DE" w:vendorID="64" w:dllVersion="131078" w:nlCheck="1" w:checkStyle="1"/>
  <w:activeWritingStyle w:appName="MSWord" w:lang="en-US"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3481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550"/>
    <w:rsid w:val="00013DD5"/>
    <w:rsid w:val="00015B0C"/>
    <w:rsid w:val="00015E66"/>
    <w:rsid w:val="0001648C"/>
    <w:rsid w:val="00023B5C"/>
    <w:rsid w:val="0002482B"/>
    <w:rsid w:val="00026575"/>
    <w:rsid w:val="0002791D"/>
    <w:rsid w:val="00030F74"/>
    <w:rsid w:val="00035992"/>
    <w:rsid w:val="0004044A"/>
    <w:rsid w:val="00040C3B"/>
    <w:rsid w:val="000441EC"/>
    <w:rsid w:val="00054E14"/>
    <w:rsid w:val="00060889"/>
    <w:rsid w:val="0006607B"/>
    <w:rsid w:val="00070925"/>
    <w:rsid w:val="00071283"/>
    <w:rsid w:val="00081016"/>
    <w:rsid w:val="000838A9"/>
    <w:rsid w:val="00086080"/>
    <w:rsid w:val="00086208"/>
    <w:rsid w:val="00086752"/>
    <w:rsid w:val="00087DA0"/>
    <w:rsid w:val="0009057D"/>
    <w:rsid w:val="00090759"/>
    <w:rsid w:val="00094CED"/>
    <w:rsid w:val="00096552"/>
    <w:rsid w:val="000A1D28"/>
    <w:rsid w:val="000A2764"/>
    <w:rsid w:val="000A708E"/>
    <w:rsid w:val="000C13FB"/>
    <w:rsid w:val="000C7498"/>
    <w:rsid w:val="000D09CA"/>
    <w:rsid w:val="000D2286"/>
    <w:rsid w:val="000D3094"/>
    <w:rsid w:val="000D316F"/>
    <w:rsid w:val="000D4238"/>
    <w:rsid w:val="000D7ECF"/>
    <w:rsid w:val="000E459D"/>
    <w:rsid w:val="000F1908"/>
    <w:rsid w:val="000F3585"/>
    <w:rsid w:val="000F5430"/>
    <w:rsid w:val="000F6B85"/>
    <w:rsid w:val="000F7051"/>
    <w:rsid w:val="00104498"/>
    <w:rsid w:val="00107262"/>
    <w:rsid w:val="00111FB8"/>
    <w:rsid w:val="001147ED"/>
    <w:rsid w:val="001148AA"/>
    <w:rsid w:val="00114FA9"/>
    <w:rsid w:val="00117674"/>
    <w:rsid w:val="0013069A"/>
    <w:rsid w:val="001310AB"/>
    <w:rsid w:val="00131EA2"/>
    <w:rsid w:val="00132917"/>
    <w:rsid w:val="00132CD3"/>
    <w:rsid w:val="001343DB"/>
    <w:rsid w:val="001418FA"/>
    <w:rsid w:val="00142BA2"/>
    <w:rsid w:val="001435E3"/>
    <w:rsid w:val="001530A1"/>
    <w:rsid w:val="00153C92"/>
    <w:rsid w:val="00155F5A"/>
    <w:rsid w:val="00156594"/>
    <w:rsid w:val="001617FB"/>
    <w:rsid w:val="00162AA3"/>
    <w:rsid w:val="001662A5"/>
    <w:rsid w:val="00167572"/>
    <w:rsid w:val="00173B4C"/>
    <w:rsid w:val="001762AF"/>
    <w:rsid w:val="0017685B"/>
    <w:rsid w:val="00180F3F"/>
    <w:rsid w:val="001825A6"/>
    <w:rsid w:val="001876C7"/>
    <w:rsid w:val="001A000F"/>
    <w:rsid w:val="001A0D80"/>
    <w:rsid w:val="001B07BA"/>
    <w:rsid w:val="001B31BA"/>
    <w:rsid w:val="001C0A99"/>
    <w:rsid w:val="001C1C9C"/>
    <w:rsid w:val="001C52F4"/>
    <w:rsid w:val="001C5BCA"/>
    <w:rsid w:val="001C69BE"/>
    <w:rsid w:val="001C796E"/>
    <w:rsid w:val="001D3408"/>
    <w:rsid w:val="001D7DFC"/>
    <w:rsid w:val="001E6354"/>
    <w:rsid w:val="001F0A6A"/>
    <w:rsid w:val="001F0CC2"/>
    <w:rsid w:val="001F20B5"/>
    <w:rsid w:val="001F427C"/>
    <w:rsid w:val="00200EB4"/>
    <w:rsid w:val="0020310E"/>
    <w:rsid w:val="002102E7"/>
    <w:rsid w:val="002219CE"/>
    <w:rsid w:val="00227F9C"/>
    <w:rsid w:val="00230C60"/>
    <w:rsid w:val="00232846"/>
    <w:rsid w:val="00233592"/>
    <w:rsid w:val="00241673"/>
    <w:rsid w:val="00244A05"/>
    <w:rsid w:val="00247163"/>
    <w:rsid w:val="002471BF"/>
    <w:rsid w:val="002509CB"/>
    <w:rsid w:val="00251D20"/>
    <w:rsid w:val="00252702"/>
    <w:rsid w:val="002559C3"/>
    <w:rsid w:val="00256BC9"/>
    <w:rsid w:val="00271AE5"/>
    <w:rsid w:val="00271BAC"/>
    <w:rsid w:val="00274FC4"/>
    <w:rsid w:val="00275090"/>
    <w:rsid w:val="00280735"/>
    <w:rsid w:val="00281A9B"/>
    <w:rsid w:val="002820F2"/>
    <w:rsid w:val="00283096"/>
    <w:rsid w:val="00283ACD"/>
    <w:rsid w:val="00287241"/>
    <w:rsid w:val="00291A16"/>
    <w:rsid w:val="002937C4"/>
    <w:rsid w:val="002A1978"/>
    <w:rsid w:val="002A1C1A"/>
    <w:rsid w:val="002A21B3"/>
    <w:rsid w:val="002A2E7F"/>
    <w:rsid w:val="002A639C"/>
    <w:rsid w:val="002A7D11"/>
    <w:rsid w:val="002B2873"/>
    <w:rsid w:val="002C5176"/>
    <w:rsid w:val="002C5BCC"/>
    <w:rsid w:val="002D42FD"/>
    <w:rsid w:val="002D685F"/>
    <w:rsid w:val="002E021F"/>
    <w:rsid w:val="002E18FC"/>
    <w:rsid w:val="002E6B82"/>
    <w:rsid w:val="002E7136"/>
    <w:rsid w:val="002E7461"/>
    <w:rsid w:val="002F35E2"/>
    <w:rsid w:val="002F7894"/>
    <w:rsid w:val="003057BE"/>
    <w:rsid w:val="00306869"/>
    <w:rsid w:val="00307DAC"/>
    <w:rsid w:val="00311FBA"/>
    <w:rsid w:val="0031548A"/>
    <w:rsid w:val="00316BD6"/>
    <w:rsid w:val="00327E0E"/>
    <w:rsid w:val="00332262"/>
    <w:rsid w:val="00334AB3"/>
    <w:rsid w:val="00335661"/>
    <w:rsid w:val="00335866"/>
    <w:rsid w:val="00343A86"/>
    <w:rsid w:val="003441A4"/>
    <w:rsid w:val="003446A8"/>
    <w:rsid w:val="003454F4"/>
    <w:rsid w:val="003505E3"/>
    <w:rsid w:val="00353098"/>
    <w:rsid w:val="00355B3D"/>
    <w:rsid w:val="00355F53"/>
    <w:rsid w:val="00355F8C"/>
    <w:rsid w:val="003611C7"/>
    <w:rsid w:val="00362007"/>
    <w:rsid w:val="00364594"/>
    <w:rsid w:val="003723E9"/>
    <w:rsid w:val="00377B4F"/>
    <w:rsid w:val="00391733"/>
    <w:rsid w:val="00396703"/>
    <w:rsid w:val="003972C7"/>
    <w:rsid w:val="00397D0F"/>
    <w:rsid w:val="003A5177"/>
    <w:rsid w:val="003A63D8"/>
    <w:rsid w:val="003A6EB3"/>
    <w:rsid w:val="003B6A56"/>
    <w:rsid w:val="003B7A33"/>
    <w:rsid w:val="003C077A"/>
    <w:rsid w:val="003C36AC"/>
    <w:rsid w:val="003C7C63"/>
    <w:rsid w:val="003D0102"/>
    <w:rsid w:val="003D4771"/>
    <w:rsid w:val="003E277C"/>
    <w:rsid w:val="003E3D91"/>
    <w:rsid w:val="003E6E14"/>
    <w:rsid w:val="003E7A99"/>
    <w:rsid w:val="003F12DC"/>
    <w:rsid w:val="003F3A37"/>
    <w:rsid w:val="003F6E14"/>
    <w:rsid w:val="00401432"/>
    <w:rsid w:val="00401A33"/>
    <w:rsid w:val="004021B0"/>
    <w:rsid w:val="0040631C"/>
    <w:rsid w:val="0040782D"/>
    <w:rsid w:val="00411053"/>
    <w:rsid w:val="004111DE"/>
    <w:rsid w:val="00416134"/>
    <w:rsid w:val="004217B2"/>
    <w:rsid w:val="00426DA9"/>
    <w:rsid w:val="0043224D"/>
    <w:rsid w:val="00434D2C"/>
    <w:rsid w:val="0043530A"/>
    <w:rsid w:val="00437A3C"/>
    <w:rsid w:val="00440FEC"/>
    <w:rsid w:val="00444419"/>
    <w:rsid w:val="00446719"/>
    <w:rsid w:val="0047111E"/>
    <w:rsid w:val="00471CB6"/>
    <w:rsid w:val="00474685"/>
    <w:rsid w:val="00474B5E"/>
    <w:rsid w:val="00475449"/>
    <w:rsid w:val="00475630"/>
    <w:rsid w:val="00480286"/>
    <w:rsid w:val="00482262"/>
    <w:rsid w:val="00485EA2"/>
    <w:rsid w:val="0048774C"/>
    <w:rsid w:val="00493571"/>
    <w:rsid w:val="0049361F"/>
    <w:rsid w:val="004967C1"/>
    <w:rsid w:val="004A0FE3"/>
    <w:rsid w:val="004A1935"/>
    <w:rsid w:val="004A7309"/>
    <w:rsid w:val="004B097D"/>
    <w:rsid w:val="004B5730"/>
    <w:rsid w:val="004C119D"/>
    <w:rsid w:val="004C3AFC"/>
    <w:rsid w:val="004C4BB1"/>
    <w:rsid w:val="004C6F64"/>
    <w:rsid w:val="004D096B"/>
    <w:rsid w:val="004D0BF0"/>
    <w:rsid w:val="004D2150"/>
    <w:rsid w:val="004D6BCE"/>
    <w:rsid w:val="004F2481"/>
    <w:rsid w:val="004F2953"/>
    <w:rsid w:val="0050081C"/>
    <w:rsid w:val="0050275D"/>
    <w:rsid w:val="005031ED"/>
    <w:rsid w:val="0050529E"/>
    <w:rsid w:val="0050532A"/>
    <w:rsid w:val="00505D71"/>
    <w:rsid w:val="005068BF"/>
    <w:rsid w:val="00512ECD"/>
    <w:rsid w:val="00514EB5"/>
    <w:rsid w:val="005164C8"/>
    <w:rsid w:val="0052184E"/>
    <w:rsid w:val="00523F83"/>
    <w:rsid w:val="0052566F"/>
    <w:rsid w:val="00525853"/>
    <w:rsid w:val="00526889"/>
    <w:rsid w:val="00530445"/>
    <w:rsid w:val="005358D2"/>
    <w:rsid w:val="0053782E"/>
    <w:rsid w:val="005436F3"/>
    <w:rsid w:val="00543F1A"/>
    <w:rsid w:val="00546D7A"/>
    <w:rsid w:val="0055424C"/>
    <w:rsid w:val="00561C79"/>
    <w:rsid w:val="00565D15"/>
    <w:rsid w:val="0056719A"/>
    <w:rsid w:val="00572790"/>
    <w:rsid w:val="00573CE9"/>
    <w:rsid w:val="0057792C"/>
    <w:rsid w:val="00580D7F"/>
    <w:rsid w:val="0058162B"/>
    <w:rsid w:val="00581D30"/>
    <w:rsid w:val="00582A0C"/>
    <w:rsid w:val="00584F0C"/>
    <w:rsid w:val="00585291"/>
    <w:rsid w:val="00586FBE"/>
    <w:rsid w:val="0058707D"/>
    <w:rsid w:val="00591296"/>
    <w:rsid w:val="00596D12"/>
    <w:rsid w:val="00597AD5"/>
    <w:rsid w:val="005A49B4"/>
    <w:rsid w:val="005B1EA0"/>
    <w:rsid w:val="005B4657"/>
    <w:rsid w:val="005B6C47"/>
    <w:rsid w:val="005B7715"/>
    <w:rsid w:val="005C1F23"/>
    <w:rsid w:val="005C2630"/>
    <w:rsid w:val="005D4461"/>
    <w:rsid w:val="005D4E30"/>
    <w:rsid w:val="005D71F9"/>
    <w:rsid w:val="005D763E"/>
    <w:rsid w:val="005E3370"/>
    <w:rsid w:val="005E61B3"/>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630C"/>
    <w:rsid w:val="006449F8"/>
    <w:rsid w:val="00645064"/>
    <w:rsid w:val="006468FC"/>
    <w:rsid w:val="00652BF8"/>
    <w:rsid w:val="006551B5"/>
    <w:rsid w:val="00657138"/>
    <w:rsid w:val="00661125"/>
    <w:rsid w:val="00661C95"/>
    <w:rsid w:val="00667BE7"/>
    <w:rsid w:val="006727DC"/>
    <w:rsid w:val="0067612E"/>
    <w:rsid w:val="0067652B"/>
    <w:rsid w:val="00682A69"/>
    <w:rsid w:val="00682F09"/>
    <w:rsid w:val="00683548"/>
    <w:rsid w:val="006856C7"/>
    <w:rsid w:val="0068704F"/>
    <w:rsid w:val="006920C3"/>
    <w:rsid w:val="00693D85"/>
    <w:rsid w:val="006A0BBF"/>
    <w:rsid w:val="006A0C98"/>
    <w:rsid w:val="006A148D"/>
    <w:rsid w:val="006A64A3"/>
    <w:rsid w:val="006B154F"/>
    <w:rsid w:val="006B1A76"/>
    <w:rsid w:val="006B3F21"/>
    <w:rsid w:val="006B4539"/>
    <w:rsid w:val="006B6066"/>
    <w:rsid w:val="006B60AB"/>
    <w:rsid w:val="006B7917"/>
    <w:rsid w:val="006C28A6"/>
    <w:rsid w:val="006C310D"/>
    <w:rsid w:val="006C323B"/>
    <w:rsid w:val="006C3FD4"/>
    <w:rsid w:val="006C44BF"/>
    <w:rsid w:val="006C5D8F"/>
    <w:rsid w:val="006D26C9"/>
    <w:rsid w:val="006D55C0"/>
    <w:rsid w:val="006D70C3"/>
    <w:rsid w:val="006D76A3"/>
    <w:rsid w:val="006E1B6F"/>
    <w:rsid w:val="006E3860"/>
    <w:rsid w:val="006E42AD"/>
    <w:rsid w:val="006E48CE"/>
    <w:rsid w:val="006E4E66"/>
    <w:rsid w:val="006E6790"/>
    <w:rsid w:val="006E79C1"/>
    <w:rsid w:val="006F478A"/>
    <w:rsid w:val="006F4D71"/>
    <w:rsid w:val="006F7A43"/>
    <w:rsid w:val="0070323C"/>
    <w:rsid w:val="00703459"/>
    <w:rsid w:val="007054E2"/>
    <w:rsid w:val="007070DC"/>
    <w:rsid w:val="007135E7"/>
    <w:rsid w:val="0072275B"/>
    <w:rsid w:val="0072352A"/>
    <w:rsid w:val="00724449"/>
    <w:rsid w:val="007249AF"/>
    <w:rsid w:val="00730747"/>
    <w:rsid w:val="0073576C"/>
    <w:rsid w:val="0073594D"/>
    <w:rsid w:val="0075110B"/>
    <w:rsid w:val="00752D0D"/>
    <w:rsid w:val="00753B1F"/>
    <w:rsid w:val="0075596F"/>
    <w:rsid w:val="00765AF4"/>
    <w:rsid w:val="0076703E"/>
    <w:rsid w:val="00781113"/>
    <w:rsid w:val="00784186"/>
    <w:rsid w:val="0078545D"/>
    <w:rsid w:val="007857B6"/>
    <w:rsid w:val="00785F29"/>
    <w:rsid w:val="007868C7"/>
    <w:rsid w:val="00786A2E"/>
    <w:rsid w:val="00790419"/>
    <w:rsid w:val="007937BD"/>
    <w:rsid w:val="007953A4"/>
    <w:rsid w:val="007A2D67"/>
    <w:rsid w:val="007A4863"/>
    <w:rsid w:val="007A5CEE"/>
    <w:rsid w:val="007B1E0D"/>
    <w:rsid w:val="007B2CA0"/>
    <w:rsid w:val="007B2FD6"/>
    <w:rsid w:val="007B4D71"/>
    <w:rsid w:val="007B6C48"/>
    <w:rsid w:val="007C0888"/>
    <w:rsid w:val="007C1AF1"/>
    <w:rsid w:val="007C3424"/>
    <w:rsid w:val="007D19E2"/>
    <w:rsid w:val="007D2611"/>
    <w:rsid w:val="007D30F9"/>
    <w:rsid w:val="007D3993"/>
    <w:rsid w:val="007D4F98"/>
    <w:rsid w:val="007D6DD6"/>
    <w:rsid w:val="007D77A3"/>
    <w:rsid w:val="007E1985"/>
    <w:rsid w:val="007E58AC"/>
    <w:rsid w:val="007E762E"/>
    <w:rsid w:val="007E79CE"/>
    <w:rsid w:val="007F2D84"/>
    <w:rsid w:val="007F4338"/>
    <w:rsid w:val="007F4F46"/>
    <w:rsid w:val="00804A22"/>
    <w:rsid w:val="00810B30"/>
    <w:rsid w:val="00814D6D"/>
    <w:rsid w:val="0082082F"/>
    <w:rsid w:val="008229D5"/>
    <w:rsid w:val="00823209"/>
    <w:rsid w:val="00824D49"/>
    <w:rsid w:val="00831368"/>
    <w:rsid w:val="00840EA2"/>
    <w:rsid w:val="00847093"/>
    <w:rsid w:val="00851C40"/>
    <w:rsid w:val="008527B9"/>
    <w:rsid w:val="008548DC"/>
    <w:rsid w:val="0085519E"/>
    <w:rsid w:val="00855311"/>
    <w:rsid w:val="0085700F"/>
    <w:rsid w:val="00857BEC"/>
    <w:rsid w:val="008611E9"/>
    <w:rsid w:val="00864455"/>
    <w:rsid w:val="00864876"/>
    <w:rsid w:val="00866314"/>
    <w:rsid w:val="008672AC"/>
    <w:rsid w:val="00867A57"/>
    <w:rsid w:val="00867D31"/>
    <w:rsid w:val="0087082E"/>
    <w:rsid w:val="0087310D"/>
    <w:rsid w:val="008758D5"/>
    <w:rsid w:val="0088714F"/>
    <w:rsid w:val="00887552"/>
    <w:rsid w:val="0089154A"/>
    <w:rsid w:val="008967EF"/>
    <w:rsid w:val="00896E4F"/>
    <w:rsid w:val="008A1B7D"/>
    <w:rsid w:val="008A2AB3"/>
    <w:rsid w:val="008A31FD"/>
    <w:rsid w:val="008B2945"/>
    <w:rsid w:val="008B523F"/>
    <w:rsid w:val="008B597B"/>
    <w:rsid w:val="008C15B9"/>
    <w:rsid w:val="008C32AA"/>
    <w:rsid w:val="008C56E6"/>
    <w:rsid w:val="008D4A91"/>
    <w:rsid w:val="008D5701"/>
    <w:rsid w:val="008D6CF2"/>
    <w:rsid w:val="008D72A4"/>
    <w:rsid w:val="008E04ED"/>
    <w:rsid w:val="008E2E3F"/>
    <w:rsid w:val="008E31BE"/>
    <w:rsid w:val="008E3435"/>
    <w:rsid w:val="008E6B74"/>
    <w:rsid w:val="008E6CC7"/>
    <w:rsid w:val="008E7AA6"/>
    <w:rsid w:val="008E7EBC"/>
    <w:rsid w:val="008E7F7E"/>
    <w:rsid w:val="008F2A2D"/>
    <w:rsid w:val="008F45B7"/>
    <w:rsid w:val="008F4F74"/>
    <w:rsid w:val="00901EC5"/>
    <w:rsid w:val="0090692F"/>
    <w:rsid w:val="009123C3"/>
    <w:rsid w:val="009140E1"/>
    <w:rsid w:val="00914F5E"/>
    <w:rsid w:val="0091698B"/>
    <w:rsid w:val="009206BE"/>
    <w:rsid w:val="00920C8A"/>
    <w:rsid w:val="00921A4F"/>
    <w:rsid w:val="00921B0A"/>
    <w:rsid w:val="0092535C"/>
    <w:rsid w:val="00925AC5"/>
    <w:rsid w:val="009264FE"/>
    <w:rsid w:val="00930208"/>
    <w:rsid w:val="009307F4"/>
    <w:rsid w:val="00932540"/>
    <w:rsid w:val="0093389E"/>
    <w:rsid w:val="00936637"/>
    <w:rsid w:val="00937330"/>
    <w:rsid w:val="00937BA4"/>
    <w:rsid w:val="0094124B"/>
    <w:rsid w:val="0094212E"/>
    <w:rsid w:val="00944EDF"/>
    <w:rsid w:val="00944F89"/>
    <w:rsid w:val="00946CCF"/>
    <w:rsid w:val="0094770B"/>
    <w:rsid w:val="00950B3D"/>
    <w:rsid w:val="00953EF9"/>
    <w:rsid w:val="00954976"/>
    <w:rsid w:val="00954F03"/>
    <w:rsid w:val="009558ED"/>
    <w:rsid w:val="00956D40"/>
    <w:rsid w:val="00957486"/>
    <w:rsid w:val="00961EE8"/>
    <w:rsid w:val="00965800"/>
    <w:rsid w:val="00977F64"/>
    <w:rsid w:val="00982602"/>
    <w:rsid w:val="0098454E"/>
    <w:rsid w:val="00987201"/>
    <w:rsid w:val="009A0F98"/>
    <w:rsid w:val="009A2721"/>
    <w:rsid w:val="009A385C"/>
    <w:rsid w:val="009A4DEA"/>
    <w:rsid w:val="009A659A"/>
    <w:rsid w:val="009B0C49"/>
    <w:rsid w:val="009B3AFA"/>
    <w:rsid w:val="009B6017"/>
    <w:rsid w:val="009B7DB3"/>
    <w:rsid w:val="009C2A23"/>
    <w:rsid w:val="009C5F7D"/>
    <w:rsid w:val="009C6595"/>
    <w:rsid w:val="009D1C43"/>
    <w:rsid w:val="009D3020"/>
    <w:rsid w:val="009D3B05"/>
    <w:rsid w:val="009D546A"/>
    <w:rsid w:val="009E56FC"/>
    <w:rsid w:val="009E7629"/>
    <w:rsid w:val="009F052C"/>
    <w:rsid w:val="009F588B"/>
    <w:rsid w:val="00A00FA7"/>
    <w:rsid w:val="00A02819"/>
    <w:rsid w:val="00A033DC"/>
    <w:rsid w:val="00A045E2"/>
    <w:rsid w:val="00A04C20"/>
    <w:rsid w:val="00A04EF9"/>
    <w:rsid w:val="00A1051A"/>
    <w:rsid w:val="00A10C62"/>
    <w:rsid w:val="00A12189"/>
    <w:rsid w:val="00A127AC"/>
    <w:rsid w:val="00A13E13"/>
    <w:rsid w:val="00A13E46"/>
    <w:rsid w:val="00A177A4"/>
    <w:rsid w:val="00A206DD"/>
    <w:rsid w:val="00A2188E"/>
    <w:rsid w:val="00A21C2F"/>
    <w:rsid w:val="00A21F16"/>
    <w:rsid w:val="00A30775"/>
    <w:rsid w:val="00A31B22"/>
    <w:rsid w:val="00A3378D"/>
    <w:rsid w:val="00A35021"/>
    <w:rsid w:val="00A3596C"/>
    <w:rsid w:val="00A418C3"/>
    <w:rsid w:val="00A421B3"/>
    <w:rsid w:val="00A43F0E"/>
    <w:rsid w:val="00A459C7"/>
    <w:rsid w:val="00A45AFF"/>
    <w:rsid w:val="00A470BC"/>
    <w:rsid w:val="00A477F8"/>
    <w:rsid w:val="00A4790C"/>
    <w:rsid w:val="00A52229"/>
    <w:rsid w:val="00A52F6D"/>
    <w:rsid w:val="00A6074A"/>
    <w:rsid w:val="00A63BCE"/>
    <w:rsid w:val="00A64948"/>
    <w:rsid w:val="00A65340"/>
    <w:rsid w:val="00A665F1"/>
    <w:rsid w:val="00A72F91"/>
    <w:rsid w:val="00A73AE6"/>
    <w:rsid w:val="00A75DB8"/>
    <w:rsid w:val="00A81D73"/>
    <w:rsid w:val="00A86A8A"/>
    <w:rsid w:val="00A87F1F"/>
    <w:rsid w:val="00A915A8"/>
    <w:rsid w:val="00A917CC"/>
    <w:rsid w:val="00A93EBF"/>
    <w:rsid w:val="00A94A40"/>
    <w:rsid w:val="00A95220"/>
    <w:rsid w:val="00A97382"/>
    <w:rsid w:val="00A97449"/>
    <w:rsid w:val="00A97D31"/>
    <w:rsid w:val="00AA5B76"/>
    <w:rsid w:val="00AA7D2B"/>
    <w:rsid w:val="00AB018C"/>
    <w:rsid w:val="00AB0765"/>
    <w:rsid w:val="00AC0841"/>
    <w:rsid w:val="00AC0ED3"/>
    <w:rsid w:val="00AC2295"/>
    <w:rsid w:val="00AC5C30"/>
    <w:rsid w:val="00AC692C"/>
    <w:rsid w:val="00AD095E"/>
    <w:rsid w:val="00AD522E"/>
    <w:rsid w:val="00AD789D"/>
    <w:rsid w:val="00AE2683"/>
    <w:rsid w:val="00AE3217"/>
    <w:rsid w:val="00AE3B8B"/>
    <w:rsid w:val="00AE4FDE"/>
    <w:rsid w:val="00AE7D2A"/>
    <w:rsid w:val="00AF0660"/>
    <w:rsid w:val="00AF1207"/>
    <w:rsid w:val="00B012A7"/>
    <w:rsid w:val="00B022DD"/>
    <w:rsid w:val="00B0236C"/>
    <w:rsid w:val="00B049E9"/>
    <w:rsid w:val="00B05401"/>
    <w:rsid w:val="00B0559C"/>
    <w:rsid w:val="00B057A5"/>
    <w:rsid w:val="00B061B5"/>
    <w:rsid w:val="00B06B29"/>
    <w:rsid w:val="00B10F3A"/>
    <w:rsid w:val="00B1359E"/>
    <w:rsid w:val="00B15B52"/>
    <w:rsid w:val="00B15B5E"/>
    <w:rsid w:val="00B17017"/>
    <w:rsid w:val="00B24ED1"/>
    <w:rsid w:val="00B278E9"/>
    <w:rsid w:val="00B35687"/>
    <w:rsid w:val="00B37A98"/>
    <w:rsid w:val="00B5396C"/>
    <w:rsid w:val="00B561B8"/>
    <w:rsid w:val="00B5795E"/>
    <w:rsid w:val="00B63F95"/>
    <w:rsid w:val="00B64430"/>
    <w:rsid w:val="00B65FDD"/>
    <w:rsid w:val="00B67CCD"/>
    <w:rsid w:val="00B74177"/>
    <w:rsid w:val="00B74390"/>
    <w:rsid w:val="00B75595"/>
    <w:rsid w:val="00B76BBC"/>
    <w:rsid w:val="00B775D3"/>
    <w:rsid w:val="00B8748D"/>
    <w:rsid w:val="00B903D3"/>
    <w:rsid w:val="00B914EA"/>
    <w:rsid w:val="00B95BF4"/>
    <w:rsid w:val="00B95F9B"/>
    <w:rsid w:val="00BA58C9"/>
    <w:rsid w:val="00BA5FCE"/>
    <w:rsid w:val="00BA66C1"/>
    <w:rsid w:val="00BA67A4"/>
    <w:rsid w:val="00BA6A26"/>
    <w:rsid w:val="00BB0CEC"/>
    <w:rsid w:val="00BB1C9E"/>
    <w:rsid w:val="00BB1D21"/>
    <w:rsid w:val="00BB20D2"/>
    <w:rsid w:val="00BB4BD4"/>
    <w:rsid w:val="00BB4E54"/>
    <w:rsid w:val="00BB78D3"/>
    <w:rsid w:val="00BC0C1A"/>
    <w:rsid w:val="00BC1981"/>
    <w:rsid w:val="00BC3DE2"/>
    <w:rsid w:val="00BC5873"/>
    <w:rsid w:val="00BD198A"/>
    <w:rsid w:val="00BD373F"/>
    <w:rsid w:val="00BD76F3"/>
    <w:rsid w:val="00BE0271"/>
    <w:rsid w:val="00BE089C"/>
    <w:rsid w:val="00BE4542"/>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4DBA"/>
    <w:rsid w:val="00C45A1C"/>
    <w:rsid w:val="00C51BE1"/>
    <w:rsid w:val="00C532CE"/>
    <w:rsid w:val="00C53909"/>
    <w:rsid w:val="00C53BD1"/>
    <w:rsid w:val="00C55993"/>
    <w:rsid w:val="00C57436"/>
    <w:rsid w:val="00C637B5"/>
    <w:rsid w:val="00C63C38"/>
    <w:rsid w:val="00C6508F"/>
    <w:rsid w:val="00C65E61"/>
    <w:rsid w:val="00C81A69"/>
    <w:rsid w:val="00C8306E"/>
    <w:rsid w:val="00C85552"/>
    <w:rsid w:val="00C90D12"/>
    <w:rsid w:val="00C92968"/>
    <w:rsid w:val="00C960EB"/>
    <w:rsid w:val="00C9757D"/>
    <w:rsid w:val="00CA23BE"/>
    <w:rsid w:val="00CA3FA6"/>
    <w:rsid w:val="00CA45A0"/>
    <w:rsid w:val="00CA7A2E"/>
    <w:rsid w:val="00CA7B60"/>
    <w:rsid w:val="00CC1146"/>
    <w:rsid w:val="00CC367E"/>
    <w:rsid w:val="00CC3B16"/>
    <w:rsid w:val="00CD2538"/>
    <w:rsid w:val="00CD4666"/>
    <w:rsid w:val="00CD4EA0"/>
    <w:rsid w:val="00CD5D53"/>
    <w:rsid w:val="00CD6B45"/>
    <w:rsid w:val="00CE0304"/>
    <w:rsid w:val="00CE0398"/>
    <w:rsid w:val="00CE09B7"/>
    <w:rsid w:val="00CE0FDD"/>
    <w:rsid w:val="00CE1CA4"/>
    <w:rsid w:val="00CF3801"/>
    <w:rsid w:val="00CF4DDA"/>
    <w:rsid w:val="00CF58F7"/>
    <w:rsid w:val="00D005FA"/>
    <w:rsid w:val="00D016F6"/>
    <w:rsid w:val="00D02E19"/>
    <w:rsid w:val="00D03834"/>
    <w:rsid w:val="00D04925"/>
    <w:rsid w:val="00D102B6"/>
    <w:rsid w:val="00D10347"/>
    <w:rsid w:val="00D10D39"/>
    <w:rsid w:val="00D11224"/>
    <w:rsid w:val="00D15D12"/>
    <w:rsid w:val="00D15FC3"/>
    <w:rsid w:val="00D17187"/>
    <w:rsid w:val="00D22247"/>
    <w:rsid w:val="00D244AC"/>
    <w:rsid w:val="00D24760"/>
    <w:rsid w:val="00D32961"/>
    <w:rsid w:val="00D33EFF"/>
    <w:rsid w:val="00D37056"/>
    <w:rsid w:val="00D40700"/>
    <w:rsid w:val="00D44972"/>
    <w:rsid w:val="00D46504"/>
    <w:rsid w:val="00D50AF7"/>
    <w:rsid w:val="00D52998"/>
    <w:rsid w:val="00D541DB"/>
    <w:rsid w:val="00D55915"/>
    <w:rsid w:val="00D60FF1"/>
    <w:rsid w:val="00D6121D"/>
    <w:rsid w:val="00D66911"/>
    <w:rsid w:val="00D67322"/>
    <w:rsid w:val="00D67A69"/>
    <w:rsid w:val="00D71774"/>
    <w:rsid w:val="00D72B0E"/>
    <w:rsid w:val="00D73F90"/>
    <w:rsid w:val="00D8281E"/>
    <w:rsid w:val="00D82D37"/>
    <w:rsid w:val="00D84EA6"/>
    <w:rsid w:val="00D85E68"/>
    <w:rsid w:val="00D8729C"/>
    <w:rsid w:val="00D931E9"/>
    <w:rsid w:val="00D95E8C"/>
    <w:rsid w:val="00D9700C"/>
    <w:rsid w:val="00DA47C2"/>
    <w:rsid w:val="00DA654E"/>
    <w:rsid w:val="00DB006B"/>
    <w:rsid w:val="00DB70A4"/>
    <w:rsid w:val="00DB7613"/>
    <w:rsid w:val="00DC19FC"/>
    <w:rsid w:val="00DC3457"/>
    <w:rsid w:val="00DC3D3E"/>
    <w:rsid w:val="00DC4AE7"/>
    <w:rsid w:val="00DC72A3"/>
    <w:rsid w:val="00DD1940"/>
    <w:rsid w:val="00DD3488"/>
    <w:rsid w:val="00DD690F"/>
    <w:rsid w:val="00DD69CB"/>
    <w:rsid w:val="00DE0B25"/>
    <w:rsid w:val="00DE116D"/>
    <w:rsid w:val="00DE2C6B"/>
    <w:rsid w:val="00DE57C3"/>
    <w:rsid w:val="00DF12B6"/>
    <w:rsid w:val="00DF5B43"/>
    <w:rsid w:val="00DF5CF7"/>
    <w:rsid w:val="00E01A2F"/>
    <w:rsid w:val="00E02EEA"/>
    <w:rsid w:val="00E03620"/>
    <w:rsid w:val="00E04F19"/>
    <w:rsid w:val="00E06BD4"/>
    <w:rsid w:val="00E121D2"/>
    <w:rsid w:val="00E20CCB"/>
    <w:rsid w:val="00E2101B"/>
    <w:rsid w:val="00E24368"/>
    <w:rsid w:val="00E2466B"/>
    <w:rsid w:val="00E2736B"/>
    <w:rsid w:val="00E27CFF"/>
    <w:rsid w:val="00E354C0"/>
    <w:rsid w:val="00E35A6B"/>
    <w:rsid w:val="00E3646C"/>
    <w:rsid w:val="00E379D5"/>
    <w:rsid w:val="00E40431"/>
    <w:rsid w:val="00E444C2"/>
    <w:rsid w:val="00E44BEA"/>
    <w:rsid w:val="00E450EA"/>
    <w:rsid w:val="00E46C03"/>
    <w:rsid w:val="00E46ED4"/>
    <w:rsid w:val="00E5311A"/>
    <w:rsid w:val="00E533E1"/>
    <w:rsid w:val="00E552D7"/>
    <w:rsid w:val="00E557E1"/>
    <w:rsid w:val="00E56B02"/>
    <w:rsid w:val="00E609D9"/>
    <w:rsid w:val="00E60C28"/>
    <w:rsid w:val="00E61BB3"/>
    <w:rsid w:val="00E62F25"/>
    <w:rsid w:val="00E632C0"/>
    <w:rsid w:val="00E65D3D"/>
    <w:rsid w:val="00E67865"/>
    <w:rsid w:val="00E67AA0"/>
    <w:rsid w:val="00E718BB"/>
    <w:rsid w:val="00E72ABB"/>
    <w:rsid w:val="00E73763"/>
    <w:rsid w:val="00E80A2F"/>
    <w:rsid w:val="00E80BB2"/>
    <w:rsid w:val="00E819CC"/>
    <w:rsid w:val="00E83BBF"/>
    <w:rsid w:val="00E84BE1"/>
    <w:rsid w:val="00E950F5"/>
    <w:rsid w:val="00EA02AD"/>
    <w:rsid w:val="00EA0F9B"/>
    <w:rsid w:val="00EA527E"/>
    <w:rsid w:val="00EA6A5C"/>
    <w:rsid w:val="00EA77B3"/>
    <w:rsid w:val="00EB1024"/>
    <w:rsid w:val="00EB1AC5"/>
    <w:rsid w:val="00EB5355"/>
    <w:rsid w:val="00EB68AA"/>
    <w:rsid w:val="00EC0D39"/>
    <w:rsid w:val="00EC0EC2"/>
    <w:rsid w:val="00EC3896"/>
    <w:rsid w:val="00EC5C9B"/>
    <w:rsid w:val="00EC69CF"/>
    <w:rsid w:val="00EC7BE2"/>
    <w:rsid w:val="00ED0BF7"/>
    <w:rsid w:val="00ED0C61"/>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1613"/>
    <w:rsid w:val="00F13FB4"/>
    <w:rsid w:val="00F14BE8"/>
    <w:rsid w:val="00F202C1"/>
    <w:rsid w:val="00F21501"/>
    <w:rsid w:val="00F22951"/>
    <w:rsid w:val="00F24CB7"/>
    <w:rsid w:val="00F26FBE"/>
    <w:rsid w:val="00F360FB"/>
    <w:rsid w:val="00F36386"/>
    <w:rsid w:val="00F36D22"/>
    <w:rsid w:val="00F40365"/>
    <w:rsid w:val="00F42A07"/>
    <w:rsid w:val="00F45BB8"/>
    <w:rsid w:val="00F45D2A"/>
    <w:rsid w:val="00F5063F"/>
    <w:rsid w:val="00F54630"/>
    <w:rsid w:val="00F55020"/>
    <w:rsid w:val="00F56C05"/>
    <w:rsid w:val="00F60E2C"/>
    <w:rsid w:val="00F67458"/>
    <w:rsid w:val="00F70699"/>
    <w:rsid w:val="00F7728B"/>
    <w:rsid w:val="00F81C11"/>
    <w:rsid w:val="00F859A7"/>
    <w:rsid w:val="00F87F35"/>
    <w:rsid w:val="00F908AE"/>
    <w:rsid w:val="00F91EE3"/>
    <w:rsid w:val="00FA15B6"/>
    <w:rsid w:val="00FA4D17"/>
    <w:rsid w:val="00FA65DA"/>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E6059"/>
    <w:rsid w:val="00FF2E7B"/>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4817"/>
    <o:shapelayout v:ext="edit">
      <o:idmap v:ext="edit" data="1"/>
    </o:shapelayout>
  </w:shapeDefaults>
  <w:decimalSymbol w:val=","/>
  <w:listSeparator w:val=";"/>
  <w14:docId w14:val="527F1E4E"/>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es-MX"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es-MX"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es-MX"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es-MX"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es-MX" w:eastAsia="zh-TW"/>
    </w:rPr>
  </w:style>
  <w:style w:type="character" w:styleId="Fett">
    <w:name w:val="Strong"/>
    <w:uiPriority w:val="22"/>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 w:type="character" w:customStyle="1" w:styleId="NichtaufgelsteErwhnung1">
    <w:name w:val="Nicht aufgelöste Erwähnung1"/>
    <w:basedOn w:val="Absatz-Standardschriftart"/>
    <w:uiPriority w:val="99"/>
    <w:semiHidden/>
    <w:unhideWhenUsed/>
    <w:rsid w:val="00FA65DA"/>
    <w:rPr>
      <w:color w:val="808080"/>
      <w:shd w:val="clear" w:color="auto" w:fill="E6E6E6"/>
    </w:rPr>
  </w:style>
  <w:style w:type="paragraph" w:styleId="Untertitel">
    <w:name w:val="Subtitle"/>
    <w:basedOn w:val="Standard"/>
    <w:next w:val="Standard"/>
    <w:link w:val="UntertitelZchn"/>
    <w:uiPriority w:val="11"/>
    <w:qFormat/>
    <w:rsid w:val="00233592"/>
    <w:pPr>
      <w:numPr>
        <w:ilvl w:val="1"/>
      </w:numPr>
      <w:spacing w:after="160" w:line="259" w:lineRule="auto"/>
    </w:pPr>
    <w:rPr>
      <w:rFonts w:asciiTheme="minorHAnsi" w:eastAsiaTheme="minorEastAsia" w:hAnsiTheme="minorHAnsi" w:cstheme="minorBidi"/>
      <w:color w:val="5A5A5A" w:themeColor="text1" w:themeTint="A5"/>
      <w:spacing w:val="15"/>
      <w:sz w:val="22"/>
      <w:szCs w:val="22"/>
      <w:lang w:eastAsia="en-US"/>
    </w:rPr>
  </w:style>
  <w:style w:type="character" w:customStyle="1" w:styleId="UntertitelZchn">
    <w:name w:val="Untertitel Zchn"/>
    <w:basedOn w:val="Absatz-Standardschriftart"/>
    <w:link w:val="Untertitel"/>
    <w:uiPriority w:val="11"/>
    <w:rsid w:val="00233592"/>
    <w:rPr>
      <w:rFonts w:asciiTheme="minorHAnsi" w:eastAsiaTheme="minorEastAsia" w:hAnsiTheme="minorHAnsi" w:cstheme="minorBidi"/>
      <w:color w:val="5A5A5A" w:themeColor="text1" w:themeTint="A5"/>
      <w:spacing w:val="15"/>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845948235">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 w:id="1472282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6.jpeg"/><Relationship Id="rId26" Type="http://schemas.openxmlformats.org/officeDocument/2006/relationships/customXml" Target="../customXml/item3.xml"/><Relationship Id="rId3" Type="http://schemas.openxmlformats.org/officeDocument/2006/relationships/styles" Target="styles.xml"/><Relationship Id="rId21" Type="http://schemas.openxmlformats.org/officeDocument/2006/relationships/hyperlink" Target="mailto:Juarez.Servando@fronius.com"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5.png"/><Relationship Id="rId25"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hyperlink" Target="https://www.fronius.com/en/welding-technology/products/manual-welding/migmag/tpsi/tpsi/tps-600i" TargetMode="External"/><Relationship Id="rId29" Type="http://schemas.openxmlformats.org/officeDocument/2006/relationships/customXml" Target="../customXml/item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fontTable" Target="fontTable.xml"/><Relationship Id="rId28" Type="http://schemas.openxmlformats.org/officeDocument/2006/relationships/customXml" Target="../customXml/item5.xml"/><Relationship Id="rId10" Type="http://schemas.openxmlformats.org/officeDocument/2006/relationships/footer" Target="footer1.xml"/><Relationship Id="rId19" Type="http://schemas.openxmlformats.org/officeDocument/2006/relationships/hyperlink" Target="http://www.fronius.com/en/welding-technology/infocentre/press"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2.jpeg"/><Relationship Id="rId22" Type="http://schemas.openxmlformats.org/officeDocument/2006/relationships/hyperlink" Target="mailto:Kirsten.Ludwig@a1kommunikation.de" TargetMode="External"/><Relationship Id="rId27" Type="http://schemas.openxmlformats.org/officeDocument/2006/relationships/customXml" Target="../customXml/item4.xml"/></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Správa o použití</Documenttype_SK>
    <Documenttype_HU xmlns="dc0c2c3d-e9fc-4a0d-820b-87ab82e65f20">Alkalmazási jelentés</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#ES</TermName>
          <TermId xmlns="http://schemas.microsoft.com/office/infopath/2007/PartnerControls">dd4c9c45-94c3-4cf4-ab9c-523f2b58f76e</TermId>
        </TermInfo>
      </Terms>
    </k62430406562456c9289cb18a9752f33>
    <title_TI_DE xmlns="dc0c2c3d-e9fc-4a0d-820b-87ab82e65f20">Painco MX</title_TI_DE>
    <Documenttype_PT xmlns="dc0c2c3d-e9fc-4a0d-820b-87ab82e65f20">Relatório de aplicação</Documenttype_PT>
    <Documenttype_RU xmlns="dc0c2c3d-e9fc-4a0d-820b-87ab82e65f20">История применения</Documenttype_RU>
    <title_TI_TR xmlns="dc0c2c3d-e9fc-4a0d-820b-87ab82e65f20">Painco MX</title_TI_TR>
    <title_TI_NO xmlns="dc0c2c3d-e9fc-4a0d-820b-87ab82e65f20">Painco MX</title_TI_NO>
    <icfaae38c4274413b390559439863f3e xmlns="dc0c2c3d-e9fc-4a0d-820b-87ab82e65f20">
      <Terms xmlns="http://schemas.microsoft.com/office/infopath/2007/PartnerControls"/>
    </icfaae38c4274413b390559439863f3e>
    <Documenttype_CS xmlns="dc0c2c3d-e9fc-4a0d-820b-87ab82e65f20">Případová studie</Documenttype_CS>
    <Documenttype_AR xmlns="dc0c2c3d-e9fc-4a0d-820b-87ab82e65f20">Application Story</Documenttype_AR>
    <title_TI_TH xmlns="dc0c2c3d-e9fc-4a0d-820b-87ab82e65f20">Painco MX</title_TI_TH>
    <Licence_x0020_information xmlns="dc0c2c3d-e9fc-4a0d-820b-87ab82e65f20">(c) Fronius International</Licence_x0020_information>
    <title_TI_EA xmlns="dc0c2c3d-e9fc-4a0d-820b-87ab82e65f20">Painco MX</title_TI_EA>
    <Fecha xmlns="53041210-5658-4a0d-8a74-f9413e00f15b" xsi:nil="true"/>
    <TitelInternal xmlns="dc0c2c3d-e9fc-4a0d-820b-87ab82e65f20" xsi:nil="true"/>
    <Documenttype_DE xmlns="dc0c2c3d-e9fc-4a0d-820b-87ab82e65f20">Anwendungsbericht</Documenttype_DE>
    <Documenttype_NO xmlns="dc0c2c3d-e9fc-4a0d-820b-87ab82e65f20">Bruksrapport</Documenttype_NO>
    <title_TI_DA xmlns="dc0c2c3d-e9fc-4a0d-820b-87ab82e65f20">Painco MX</title_TI_DA>
    <Documenttype_TR xmlns="dc0c2c3d-e9fc-4a0d-820b-87ab82e65f20">Kullanım raporu</Documenttype_TR>
    <title_TI_PL xmlns="dc0c2c3d-e9fc-4a0d-820b-87ab82e65f20">Painco MX</title_TI_PL>
    <Documenttype_TH xmlns="dc0c2c3d-e9fc-4a0d-820b-87ab82e65f20">เรื่องราวการใช้งาน</Documenttype_TH>
    <title_TI_EL xmlns="dc0c2c3d-e9fc-4a0d-820b-87ab82e65f20">Painco MX</title_TI_EL>
    <Documenttype_EA xmlns="dc0c2c3d-e9fc-4a0d-820b-87ab82e65f20">Application Story</Documenttype_EA>
    <Web_x0020_Display_x0020_Title_x0020_ET xmlns="dc0c2c3d-e9fc-4a0d-820b-87ab82e65f20">Painco MX</Web_x0020_Display_x0020_Title_x0020_ET>
    <Resolution xmlns="dc0c2c3d-e9fc-4a0d-820b-87ab82e65f20" xsi:nil="true"/>
    <Division xmlns="dc0c2c3d-e9fc-4a0d-820b-87ab82e65f20">Perfect Welding</Division>
    <title_TI_FR xmlns="dc0c2c3d-e9fc-4a0d-820b-87ab82e65f20">Painco MX</title_TI_FR>
    <Documenttype_DA xmlns="dc0c2c3d-e9fc-4a0d-820b-87ab82e65f20">Anvendelsesrapporter</Documenttype_DA>
    <DocArticleNumber xmlns="dc0c2c3d-e9fc-4a0d-820b-87ab82e65f20" xsi:nil="true"/>
    <countryok xmlns="dc0c2c3d-e9fc-4a0d-820b-87ab82e65f20">true</countryok>
    <ArticleNumber xmlns="dc0c2c3d-e9fc-4a0d-820b-87ab82e65f20" xsi:nil="true"/>
    <title_TI_SV xmlns="dc0c2c3d-e9fc-4a0d-820b-87ab82e65f20">Painco MX</title_TI_SV>
    <Documenttype_PL xmlns="dc0c2c3d-e9fc-4a0d-820b-87ab82e65f20">Raport dotyczący zastosowania</Documenttype_PL>
    <VersionInternal xmlns="dc0c2c3d-e9fc-4a0d-820b-87ab82e65f20">0</VersionInternal>
    <Update xmlns="dc0c2c3d-e9fc-4a0d-820b-87ab82e65f20" xsi:nil="true"/>
    <FileMaster xmlns="dc0c2c3d-e9fc-4a0d-820b-87ab82e65f20">C-152758</FileMaster>
    <title_TI_NL xmlns="dc0c2c3d-e9fc-4a0d-820b-87ab82e65f20">Painco MX</title_TI_NL>
    <FSM xmlns="dc0c2c3d-e9fc-4a0d-820b-87ab82e65f20">false</FSM>
    <contentservId xmlns="53041210-5658-4a0d-8a74-f9413e00f15b">C-152762</contentservId>
    <title_TI_IT xmlns="dc0c2c3d-e9fc-4a0d-820b-87ab82e65f20">Painco MX</title_TI_IT>
    <Documenttype_EL xmlns="dc0c2c3d-e9fc-4a0d-820b-87ab82e65f20">Έκθεση εφαρμογής</Documenttype_EL>
    <Description0 xmlns="53041210-5658-4a0d-8a74-f9413e00f15b" xsi:nil="true"/>
    <l67a679918f5484e8f458468bb061236 xmlns="dc0c2c3d-e9fc-4a0d-820b-87ab82e65f20">
      <Terms xmlns="http://schemas.microsoft.com/office/infopath/2007/PartnerControls"/>
    </l67a679918f5484e8f458468bb061236>
    <download-count xmlns="dc0c2c3d-e9fc-4a0d-820b-87ab82e65f20" xsi:nil="true"/>
    <Documenttype_FR xmlns="dc0c2c3d-e9fc-4a0d-820b-87ab82e65f20">Rapport d’utilisation</Documenttype_FR>
    <FroCountryExclusive xmlns="dc0c2c3d-e9fc-4a0d-820b-87ab82e65f20">No</FroCountryExclusive>
    <title_TI_UA xmlns="dc0c2c3d-e9fc-4a0d-820b-87ab82e65f20">Painco MX</title_TI_UA>
    <title_TI_JP xmlns="dc0c2c3d-e9fc-4a0d-820b-87ab82e65f20">Painco MX</title_TI_JP>
    <Documenttype_NL xmlns="dc0c2c3d-e9fc-4a0d-820b-87ab82e65f20">Toepassingsrapport</Documenttype_NL>
    <title_TI_RO xmlns="dc0c2c3d-e9fc-4a0d-820b-87ab82e65f20">Painco MX</title_TI_RO>
    <Documenttype_NB xmlns="dc0c2c3d-e9fc-4a0d-820b-87ab82e65f20">Bruksrapport</Documenttype_NB>
    <title_ti_nb xmlns="dc0c2c3d-e9fc-4a0d-820b-87ab82e65f20">Painco MX</title_ti_nb>
    <title_TI_ES xmlns="dc0c2c3d-e9fc-4a0d-820b-87ab82e65f20">Painco MX</title_TI_ES>
    <title_TI_JA xmlns="dc0c2c3d-e9fc-4a0d-820b-87ab82e65f20">Painco MX</title_TI_JA>
    <TaxCatchAll xmlns="92f60987-cbcc-4245-baaf-239af3bfd6e8">
      <Value>259</Value>
      <Value>1</Value>
    </TaxCatchAll>
    <Documenttype_IT xmlns="dc0c2c3d-e9fc-4a0d-820b-87ab82e65f20">Rapporto sull'applicazione</Documenttype_IT>
    <Documenttype_ZH xmlns="dc0c2c3d-e9fc-4a0d-820b-87ab82e65f20">Application Story</Documenttype_ZH>
    <AGB xmlns="dc0c2c3d-e9fc-4a0d-820b-87ab82e65f20">false</AGB>
    <title_TI_EN xmlns="dc0c2c3d-e9fc-4a0d-820b-87ab82e65f20">Painco MX</title_TI_EN>
    <MRMKeyWords xmlns="dc0c2c3d-e9fc-4a0d-820b-87ab82e65f20">#Hochleistungs-Schweißen#Yellow goods#TPS 600i#Anwenderreportage#Painco Brasilien#Wirtschaftsverkehr#high performance welding#application story#Painco Brazil#commercial transportation#hochleistungs-schweiu+00dfen#highperformancewelding#yellowgoods#tps600i#anwenderreportage#applicationstory#paincobrasilien#commercialtransportation#hochleistungs-schweißen#wirtschaftsverkehr#</MRMKeyWords>
    <title_ti_zh xmlns="dc0c2c3d-e9fc-4a0d-820b-87ab82e65f20">Painco MX</title_ti_zh>
    <MRMID xmlns="dc0c2c3d-e9fc-4a0d-820b-87ab82e65f20">M-150807</MRMID>
    <Documenttype_UK xmlns="dc0c2c3d-e9fc-4a0d-820b-87ab82e65f20">Історія застосування</Documenttype_UK>
    <title_TI_SK xmlns="dc0c2c3d-e9fc-4a0d-820b-87ab82e65f20">Painco MX</title_TI_SK>
    <Documenttype_UA xmlns="dc0c2c3d-e9fc-4a0d-820b-87ab82e65f20">Історія застосування</Documenttype_UA>
    <title_TI_HU xmlns="dc0c2c3d-e9fc-4a0d-820b-87ab82e65f20">Painco MX</title_TI_HU>
    <Country_x0020_Quick_x0020_Select xmlns="dc0c2c3d-e9fc-4a0d-820b-87ab82e65f20">Select...</Country_x0020_Quick_x0020_Select>
    <title_ti_uk xmlns="dc0c2c3d-e9fc-4a0d-820b-87ab82e65f20">Painco MX</title_ti_uk>
    <title_TI_PT xmlns="dc0c2c3d-e9fc-4a0d-820b-87ab82e65f20">Painco MX</title_TI_PT>
    <Country xmlns="dc0c2c3d-e9fc-4a0d-820b-87ab82e65f20">
      <Value>28</Value>
    </Country>
    <fro_spid xmlns="dc0c2c3d-e9fc-4a0d-820b-87ab82e65f20">11856;SE</fro_spid>
    <title_TI_RU xmlns="dc0c2c3d-e9fc-4a0d-820b-87ab82e65f20">Painco MX</title_TI_RU>
    <title_ti_fi xmlns="dc0c2c3d-e9fc-4a0d-820b-87ab82e65f20">Painco MX</title_ti_fi>
    <Documenttype_JA xmlns="dc0c2c3d-e9fc-4a0d-820b-87ab82e65f20">アプリケーションストーリー</Documenttype_JA>
    <title_TI_CS xmlns="dc0c2c3d-e9fc-4a0d-820b-87ab82e65f20">Painco MX</title_TI_CS>
    <title_TI_AR xmlns="dc0c2c3d-e9fc-4a0d-820b-87ab82e65f20">Painco MX</title_TI_AR>
    <Colour_x0020_space xmlns="dc0c2c3d-e9fc-4a0d-820b-87ab82e65f20" xsi:nil="true"/>
    <Documenttype_EN xmlns="dc0c2c3d-e9fc-4a0d-820b-87ab82e65f20">Application Story</Documenttype_EN>
    <Documenttype_ES xmlns="dc0c2c3d-e9fc-4a0d-820b-87ab82e65f20">Informe de aplicación</Documenttype_ES>
    <title_TI_CN xmlns="dc0c2c3d-e9fc-4a0d-820b-87ab82e65f20" xsi:nil="true"/>
  </documentManagement>
</p:properties>
</file>

<file path=customXml/itemProps1.xml><?xml version="1.0" encoding="utf-8"?>
<ds:datastoreItem xmlns:ds="http://schemas.openxmlformats.org/officeDocument/2006/customXml" ds:itemID="{7C8831B7-FA56-4310-B0C2-CD045A2080BE}">
  <ds:schemaRefs>
    <ds:schemaRef ds:uri="http://schemas.openxmlformats.org/officeDocument/2006/bibliography"/>
  </ds:schemaRefs>
</ds:datastoreItem>
</file>

<file path=customXml/itemProps2.xml><?xml version="1.0" encoding="utf-8"?>
<ds:datastoreItem xmlns:ds="http://schemas.openxmlformats.org/officeDocument/2006/customXml" ds:itemID="{FAD2DF5D-DB4B-4526-9DB2-A776AF1BA4E7}"/>
</file>

<file path=customXml/itemProps3.xml><?xml version="1.0" encoding="utf-8"?>
<ds:datastoreItem xmlns:ds="http://schemas.openxmlformats.org/officeDocument/2006/customXml" ds:itemID="{D886F775-F27D-4F58-AEA4-416BAC221FAD}"/>
</file>

<file path=customXml/itemProps4.xml><?xml version="1.0" encoding="utf-8"?>
<ds:datastoreItem xmlns:ds="http://schemas.openxmlformats.org/officeDocument/2006/customXml" ds:itemID="{9345DED4-6BD3-40CC-B623-DFE96FA8F60C}"/>
</file>

<file path=customXml/itemProps5.xml><?xml version="1.0" encoding="utf-8"?>
<ds:datastoreItem xmlns:ds="http://schemas.openxmlformats.org/officeDocument/2006/customXml" ds:itemID="{ECAF798D-78B1-4FE0-981D-1857B1AA666F}"/>
</file>

<file path=customXml/itemProps6.xml><?xml version="1.0" encoding="utf-8"?>
<ds:datastoreItem xmlns:ds="http://schemas.openxmlformats.org/officeDocument/2006/customXml" ds:itemID="{713FB9DE-1FF7-4FA2-B14F-2638DE727F0E}"/>
</file>

<file path=docProps/app.xml><?xml version="1.0" encoding="utf-8"?>
<Properties xmlns="http://schemas.openxmlformats.org/officeDocument/2006/extended-properties" xmlns:vt="http://schemas.openxmlformats.org/officeDocument/2006/docPropsVTypes">
  <Template>Fronius-Standardvorlage.dotm</Template>
  <TotalTime>0</TotalTime>
  <Pages>3</Pages>
  <Words>985</Words>
  <Characters>6207</Characters>
  <Application>Microsoft Office Word</Application>
  <DocSecurity>0</DocSecurity>
  <Lines>51</Lines>
  <Paragraphs>14</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7178</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PW_AST_Painco_MX_ES</dc:title>
  <dc:subject/>
  <dc:creator>Matthias Reiser</dc:creator>
  <cp:keywords/>
  <cp:lastModifiedBy>Prielinger Peter</cp:lastModifiedBy>
  <cp:revision>22</cp:revision>
  <cp:lastPrinted>2016-07-21T12:13:00Z</cp:lastPrinted>
  <dcterms:created xsi:type="dcterms:W3CDTF">2020-01-07T15:05:00Z</dcterms:created>
  <dcterms:modified xsi:type="dcterms:W3CDTF">2020-09-09T06:40:00Z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eb Display Title SV">
    <vt:lpwstr>Painco MX</vt:lpwstr>
  </property>
  <property fmtid="{D5CDD505-2E9C-101B-9397-08002B2CF9AE}" pid="10" name="WorkflowChangePath">
    <vt:lpwstr>a8dd0ddf-bfd4-44dd-a6bb-0c3c9675194c,80;a8dd0ddf-bfd4-44dd-a6bb-0c3c9675194c,80;a8dd0ddf-bfd4-44dd-a6bb-0c3c9675194c,80;a8dd0ddf-bfd4-44dd-a6bb-0c3c9675194c,80;a8dd0ddf-bfd4-44dd-a6bb-0c3c9675194c,80;a8dd0ddf-bfd4-44dd-a6bb-0c3c9675194c,80;a8dd0ddf-bfd4-44dd-a6bb-0c3c9675194c,80;0b69803e-5fed-4f4d-9d44-b1b3d75cd954,84;0b69803e-5fed-4f4d-9d44-b1b3d75cd954,84;0b69803e-5fed-4f4d-9d44-b1b3d75cd954,88;0b69803e-5fed-4f4d-9d44-b1b3d75cd954,92;84063e84-3b90-4264-9d91-20c80f9713f8,166;84063e84-3b90-4264-9d91-20c80f9713f8,166;84063e84-3b90-4264-9d91-20c80f9713f8,169;84063e84-3b90-4264-9d91-20c80f9713f8,175;84063e84-3b90-4264-9d91-20c80f9713f8,179;84063e84-3b90-4264-9d91-20c80f9713f8,189;84063e84-3b90-4264-9d91-20c80f9713f8,193;</vt:lpwstr>
  </property>
  <property fmtid="{D5CDD505-2E9C-101B-9397-08002B2CF9AE}" pid="11" name="_docset_NoMedatataSyncRequired">
    <vt:lpwstr>False</vt:lpwstr>
  </property>
  <property fmtid="{D5CDD505-2E9C-101B-9397-08002B2CF9AE}" pid="12" name="Language">
    <vt:lpwstr>259;##ES|dd4c9c45-94c3-4cf4-ab9c-523f2b58f76e</vt:lpwstr>
  </property>
  <property fmtid="{D5CDD505-2E9C-101B-9397-08002B2CF9AE}" pid="13" name="FroConDoc_language">
    <vt:lpwstr>1;#DE|676160ea-61f7-4cef-8b4c-1724dec2206e</vt:lpwstr>
  </property>
</Properties>
</file>